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activeX/activeX1.xml" ContentType="application/vnd.ms-office.activeX+xml"/>
  <Override PartName="/word/activeX/activeX2.xml" ContentType="application/vnd.ms-office.activeX+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C5A" w:rsidRPr="00715D93" w:rsidRDefault="00B62CB1" w:rsidP="00715D93">
      <w:pPr>
        <w:jc w:val="center"/>
        <w:rPr>
          <w:b/>
        </w:rPr>
      </w:pPr>
      <w:r>
        <w:rPr>
          <w:b/>
        </w:rPr>
        <w:t xml:space="preserve">South </w:t>
      </w:r>
      <w:r w:rsidR="00CB5B87">
        <w:rPr>
          <w:b/>
        </w:rPr>
        <w:t xml:space="preserve">East Staffordshire </w:t>
      </w:r>
      <w:r>
        <w:rPr>
          <w:b/>
        </w:rPr>
        <w:t xml:space="preserve">and Seisdon Peninsula </w:t>
      </w:r>
      <w:r w:rsidR="00CB5B87">
        <w:rPr>
          <w:b/>
        </w:rPr>
        <w:t>CCG</w:t>
      </w:r>
    </w:p>
    <w:p w:rsidR="00860CE2" w:rsidRDefault="00C50400" w:rsidP="00B62CB1">
      <w:pPr>
        <w:jc w:val="center"/>
        <w:rPr>
          <w:b/>
        </w:rPr>
      </w:pPr>
      <w:r>
        <w:rPr>
          <w:b/>
        </w:rPr>
        <w:t>Denosumab for management of fracture risk in patients with post-menopausal osteoporosis</w:t>
      </w:r>
      <w:r w:rsidR="006B2467">
        <w:rPr>
          <w:b/>
        </w:rPr>
        <w:t xml:space="preserve">: </w:t>
      </w:r>
      <w:r w:rsidR="000D7C5A" w:rsidRPr="00715D93">
        <w:rPr>
          <w:b/>
        </w:rPr>
        <w:t>Local Improvement Scheme 201</w:t>
      </w:r>
      <w:r w:rsidR="00E04266">
        <w:rPr>
          <w:b/>
        </w:rPr>
        <w:t>5</w:t>
      </w:r>
      <w:r w:rsidR="00B62CB1">
        <w:rPr>
          <w:b/>
        </w:rPr>
        <w:t>/16</w:t>
      </w:r>
    </w:p>
    <w:p w:rsidR="000D7C5A" w:rsidRDefault="000D7C5A" w:rsidP="00715D93">
      <w:pPr>
        <w:pStyle w:val="ListParagraph"/>
        <w:numPr>
          <w:ilvl w:val="0"/>
          <w:numId w:val="1"/>
        </w:numPr>
        <w:rPr>
          <w:b/>
        </w:rPr>
      </w:pPr>
      <w:r w:rsidRPr="00063F40">
        <w:rPr>
          <w:b/>
        </w:rPr>
        <w:t>Introduction</w:t>
      </w:r>
    </w:p>
    <w:p w:rsidR="00C50400" w:rsidRDefault="00C50400" w:rsidP="00C50400">
      <w:r>
        <w:t xml:space="preserve">This Local Improvement </w:t>
      </w:r>
      <w:r w:rsidR="00B62CB1">
        <w:t xml:space="preserve">Scheme (LIS) </w:t>
      </w:r>
      <w:r>
        <w:t xml:space="preserve">has been produced to allow patients deemed as eligible to receive denosumab by </w:t>
      </w:r>
      <w:r w:rsidR="00F767C4">
        <w:t xml:space="preserve">a </w:t>
      </w:r>
      <w:r>
        <w:t xml:space="preserve">specialist to access treatment closer to home, through provision </w:t>
      </w:r>
      <w:r w:rsidR="00357F4F">
        <w:t>via</w:t>
      </w:r>
      <w:r>
        <w:t xml:space="preserve"> GP practices.</w:t>
      </w:r>
    </w:p>
    <w:p w:rsidR="00C50400" w:rsidRDefault="00C50400" w:rsidP="00C50400">
      <w:r>
        <w:t>Denosumab for the treatment of fracture risk in eligible patients suffering from post-menopausal osteoporosis was approved by NICE in 2010.  NICE envisaged that treatment would be initiated by a specialist and continued in primary care, but failure to agree a service level agreement has resulted in patients continuing to be treated in secondary care.</w:t>
      </w:r>
    </w:p>
    <w:p w:rsidR="00C50400" w:rsidRDefault="00C50400" w:rsidP="00C50400">
      <w:r>
        <w:t>Capacity issue</w:t>
      </w:r>
      <w:r w:rsidR="00F767C4">
        <w:t>s</w:t>
      </w:r>
      <w:r>
        <w:t xml:space="preserve"> have resulted in cancellations of outpatient appointments which could compromise outcomes</w:t>
      </w:r>
      <w:r w:rsidR="00F767C4">
        <w:t>. I</w:t>
      </w:r>
      <w:r>
        <w:t xml:space="preserve">n addition requiring often frail elderly patients to attend an outpatient setting </w:t>
      </w:r>
      <w:r w:rsidR="00F767C4">
        <w:t xml:space="preserve">to receive this treatment </w:t>
      </w:r>
      <w:r>
        <w:t>would appear to be contrary to the principle of delivering care close to home.</w:t>
      </w:r>
    </w:p>
    <w:p w:rsidR="00F767C4" w:rsidRDefault="00F767C4" w:rsidP="00C50400">
      <w:r>
        <w:t xml:space="preserve">The CCG </w:t>
      </w:r>
      <w:proofErr w:type="gramStart"/>
      <w:r w:rsidR="00CB5B87">
        <w:t xml:space="preserve">have </w:t>
      </w:r>
      <w:r>
        <w:t xml:space="preserve"> expressed</w:t>
      </w:r>
      <w:proofErr w:type="gramEnd"/>
      <w:r>
        <w:t xml:space="preserve"> a wish to develop a service level specification similar to that operated by Wolverhampton CCG and it is upon this model that this document is based.</w:t>
      </w:r>
    </w:p>
    <w:p w:rsidR="00F767C4" w:rsidRDefault="00F767C4" w:rsidP="00F767C4">
      <w:pPr>
        <w:pStyle w:val="ListParagraph"/>
        <w:numPr>
          <w:ilvl w:val="0"/>
          <w:numId w:val="1"/>
        </w:numPr>
        <w:jc w:val="both"/>
        <w:rPr>
          <w:b/>
        </w:rPr>
      </w:pPr>
      <w:r>
        <w:rPr>
          <w:b/>
        </w:rPr>
        <w:t>Denosumab</w:t>
      </w:r>
      <w:r w:rsidR="00B62CB1">
        <w:rPr>
          <w:b/>
        </w:rPr>
        <w:t xml:space="preserve"> </w:t>
      </w:r>
      <w:r>
        <w:rPr>
          <w:b/>
        </w:rPr>
        <w:t>- the intervention</w:t>
      </w:r>
    </w:p>
    <w:p w:rsidR="00F767C4" w:rsidRPr="00F767C4" w:rsidRDefault="00F767C4" w:rsidP="00F767C4">
      <w:pPr>
        <w:jc w:val="both"/>
      </w:pPr>
      <w:r w:rsidRPr="00F767C4">
        <w:t>Denosumab (</w:t>
      </w:r>
      <w:proofErr w:type="spellStart"/>
      <w:r w:rsidRPr="00F767C4">
        <w:t>Prolia</w:t>
      </w:r>
      <w:proofErr w:type="spellEnd"/>
      <w:r w:rsidRPr="00F767C4">
        <w:t xml:space="preserve">®, Amgen) is a monoclonal antibody that inhibits osteoclast formation, function and survival and thereby decreasing bone resorption. It was approved by NICE in October 2010 for the primary and secondary prevention of osteoporotic fragility fractures in post-menopausal women at risk of fragility fractures who are unable to comply with or tolerate a bisphosphonate. In addition, patients should comply with bone mineral density measurements, age and independent fracture risk measurements. Studies show the 36-month incidence of new </w:t>
      </w:r>
      <w:proofErr w:type="spellStart"/>
      <w:r w:rsidRPr="00F767C4">
        <w:t>radiographically</w:t>
      </w:r>
      <w:proofErr w:type="spellEnd"/>
      <w:r w:rsidRPr="00F767C4">
        <w:t xml:space="preserve"> diagnosed vertebral fractures was 2.3% (86 of 3702 women) in the denosumab group compared with 7.2% (264 of 3691 women) in the placebo group (relative risk [RR] 0.32, 95% confidence interval [CI] 0.26 to 0.41; p &lt; 0.001). The reduction in risk was similar during each year of the trial. Similar reductions in incidence were seen for clinically diagnosed vertebral fractures (0.8% for denosumab versus 2.6% for placebo; hazard ratio [HR] 0.31, 95% CI 0.20 to 0.47; p &lt; 0.001) and for multiple new </w:t>
      </w:r>
      <w:proofErr w:type="spellStart"/>
      <w:r w:rsidRPr="00F767C4">
        <w:t>radiographically</w:t>
      </w:r>
      <w:proofErr w:type="spellEnd"/>
      <w:r w:rsidRPr="00F767C4">
        <w:t xml:space="preserve"> diagnosed vertebral fractures (0.6% for denosumab versus 1.6% for placebo; RR 0.39, 95% CI 0.24 to 0.63; p &lt; 0.001)6. Denosumab also reduced the risk of non-vertebral fracture. Denosumab costs £183 per injection and 2 injections are required per year. The cost when considered on a per monthly basis is £30.50. Compliance is 100% when the patient has the injection administered.</w:t>
      </w:r>
    </w:p>
    <w:p w:rsidR="00F767C4" w:rsidRDefault="00F767C4" w:rsidP="00F767C4">
      <w:pPr>
        <w:jc w:val="both"/>
      </w:pPr>
      <w:r w:rsidRPr="00F767C4">
        <w:t xml:space="preserve">Diagnosis and suitability for denosumab is determined by a Consultant Rheumatologist in secondary care who will also carry out all the initial </w:t>
      </w:r>
      <w:proofErr w:type="gramStart"/>
      <w:r w:rsidRPr="00F767C4">
        <w:t>tests</w:t>
      </w:r>
      <w:r w:rsidR="0019366A">
        <w:t>,</w:t>
      </w:r>
      <w:proofErr w:type="gramEnd"/>
      <w:r w:rsidR="0019366A">
        <w:t xml:space="preserve"> </w:t>
      </w:r>
      <w:r w:rsidRPr="00F767C4">
        <w:t xml:space="preserve">and checks </w:t>
      </w:r>
      <w:r w:rsidR="0019366A">
        <w:t>(including correction of hypocalcaemia)</w:t>
      </w:r>
      <w:r w:rsidR="00B62CB1">
        <w:t xml:space="preserve"> </w:t>
      </w:r>
      <w:r w:rsidRPr="00F767C4">
        <w:t>as well as administer the first injection.</w:t>
      </w:r>
    </w:p>
    <w:p w:rsidR="0019366A" w:rsidRPr="0019366A" w:rsidRDefault="0019366A" w:rsidP="0019366A">
      <w:pPr>
        <w:pStyle w:val="ListParagraph"/>
        <w:numPr>
          <w:ilvl w:val="0"/>
          <w:numId w:val="1"/>
        </w:numPr>
        <w:jc w:val="both"/>
        <w:rPr>
          <w:b/>
        </w:rPr>
      </w:pPr>
      <w:r w:rsidRPr="0019366A">
        <w:rPr>
          <w:b/>
        </w:rPr>
        <w:t>Specialist Responsibilities</w:t>
      </w:r>
    </w:p>
    <w:p w:rsidR="0019366A" w:rsidRDefault="0019366A" w:rsidP="0019366A">
      <w:pPr>
        <w:pStyle w:val="ListParagraph"/>
        <w:numPr>
          <w:ilvl w:val="0"/>
          <w:numId w:val="4"/>
        </w:numPr>
        <w:jc w:val="both"/>
      </w:pPr>
      <w:r>
        <w:t>Assess patient in accordance with NICE TA204 for suitability for denosumab</w:t>
      </w:r>
    </w:p>
    <w:p w:rsidR="00336876" w:rsidRDefault="0019366A" w:rsidP="0019366A">
      <w:pPr>
        <w:pStyle w:val="ListParagraph"/>
        <w:numPr>
          <w:ilvl w:val="0"/>
          <w:numId w:val="4"/>
        </w:numPr>
        <w:jc w:val="both"/>
        <w:sectPr w:rsidR="00336876" w:rsidSect="00336876">
          <w:headerReference w:type="default" r:id="rId13"/>
          <w:footerReference w:type="default" r:id="rId14"/>
          <w:pgSz w:w="11906" w:h="16838"/>
          <w:pgMar w:top="1702" w:right="849" w:bottom="1440" w:left="1440" w:header="283" w:footer="0" w:gutter="0"/>
          <w:cols w:space="708"/>
          <w:docGrid w:linePitch="360"/>
        </w:sectPr>
      </w:pPr>
      <w:r>
        <w:t>Undertake baseline bloods</w:t>
      </w:r>
      <w:r w:rsidR="00064491">
        <w:t xml:space="preserve"> including renal function</w:t>
      </w:r>
      <w:r>
        <w:t xml:space="preserve"> and correct any hypocalcaemia.</w:t>
      </w:r>
    </w:p>
    <w:p w:rsidR="0019366A" w:rsidRDefault="0019366A" w:rsidP="0019366A">
      <w:pPr>
        <w:pStyle w:val="ListParagraph"/>
        <w:numPr>
          <w:ilvl w:val="0"/>
          <w:numId w:val="4"/>
        </w:numPr>
        <w:jc w:val="both"/>
      </w:pPr>
      <w:r>
        <w:lastRenderedPageBreak/>
        <w:t xml:space="preserve">Advise patient to undergo regular dental checks and </w:t>
      </w:r>
      <w:r w:rsidR="00357F4F">
        <w:t xml:space="preserve">to </w:t>
      </w:r>
      <w:r>
        <w:t xml:space="preserve">advise </w:t>
      </w:r>
      <w:r w:rsidR="00357F4F">
        <w:t xml:space="preserve">their </w:t>
      </w:r>
      <w:r>
        <w:t>dentist that they are receiving denosumab therapy.</w:t>
      </w:r>
    </w:p>
    <w:p w:rsidR="0019366A" w:rsidRDefault="0019366A" w:rsidP="0019366A">
      <w:pPr>
        <w:pStyle w:val="ListParagraph"/>
        <w:numPr>
          <w:ilvl w:val="0"/>
          <w:numId w:val="4"/>
        </w:numPr>
        <w:jc w:val="both"/>
      </w:pPr>
      <w:r>
        <w:t>Administer first dose of denosumab.</w:t>
      </w:r>
    </w:p>
    <w:p w:rsidR="0019366A" w:rsidRDefault="0019366A" w:rsidP="0019366A">
      <w:pPr>
        <w:pStyle w:val="ListParagraph"/>
        <w:numPr>
          <w:ilvl w:val="0"/>
          <w:numId w:val="4"/>
        </w:numPr>
        <w:jc w:val="both"/>
      </w:pPr>
      <w:r>
        <w:t>Request the GP to take assume responsibility for ongoing treatment as outline</w:t>
      </w:r>
      <w:r w:rsidR="00CB5B87">
        <w:t>d</w:t>
      </w:r>
      <w:r>
        <w:t xml:space="preserve"> below.</w:t>
      </w:r>
    </w:p>
    <w:p w:rsidR="0019366A" w:rsidRDefault="0019366A" w:rsidP="0019366A">
      <w:pPr>
        <w:pStyle w:val="ListParagraph"/>
        <w:numPr>
          <w:ilvl w:val="0"/>
          <w:numId w:val="4"/>
        </w:numPr>
        <w:jc w:val="both"/>
      </w:pPr>
      <w:r>
        <w:t xml:space="preserve">To use the </w:t>
      </w:r>
      <w:proofErr w:type="spellStart"/>
      <w:r>
        <w:t>RiCaD</w:t>
      </w:r>
      <w:proofErr w:type="spellEnd"/>
      <w:r>
        <w:t xml:space="preserve"> </w:t>
      </w:r>
      <w:r w:rsidR="00B62CB1">
        <w:t>form or</w:t>
      </w:r>
      <w:r>
        <w:t xml:space="preserve"> equivalent to communicate with GP that all eligibility criteria have been met.</w:t>
      </w:r>
    </w:p>
    <w:p w:rsidR="0019366A" w:rsidRDefault="0019366A" w:rsidP="0019366A">
      <w:pPr>
        <w:pStyle w:val="ListParagraph"/>
        <w:numPr>
          <w:ilvl w:val="0"/>
          <w:numId w:val="4"/>
        </w:numPr>
        <w:jc w:val="both"/>
      </w:pPr>
      <w:r>
        <w:t>Maintain prescribing responsibility and provision of care in the event that primary care provision can’</w:t>
      </w:r>
      <w:r w:rsidR="00D5710F">
        <w:t xml:space="preserve">t be arranged or in the event that the patient has an </w:t>
      </w:r>
      <w:proofErr w:type="spellStart"/>
      <w:r w:rsidR="00D5710F">
        <w:t>EGFr</w:t>
      </w:r>
      <w:proofErr w:type="spellEnd"/>
      <w:r w:rsidR="00D5710F">
        <w:t>&lt;30.</w:t>
      </w:r>
    </w:p>
    <w:p w:rsidR="00064491" w:rsidRDefault="00064491" w:rsidP="00064491">
      <w:pPr>
        <w:pStyle w:val="ListParagraph"/>
        <w:jc w:val="both"/>
      </w:pPr>
    </w:p>
    <w:p w:rsidR="0019366A" w:rsidRDefault="0019366A" w:rsidP="0019366A">
      <w:pPr>
        <w:pStyle w:val="ListParagraph"/>
        <w:numPr>
          <w:ilvl w:val="0"/>
          <w:numId w:val="1"/>
        </w:numPr>
        <w:jc w:val="both"/>
        <w:rPr>
          <w:b/>
        </w:rPr>
      </w:pPr>
      <w:r w:rsidRPr="0019366A">
        <w:rPr>
          <w:b/>
        </w:rPr>
        <w:t>GP Practice Responsibilit</w:t>
      </w:r>
      <w:r>
        <w:rPr>
          <w:b/>
        </w:rPr>
        <w:t>ies</w:t>
      </w:r>
    </w:p>
    <w:p w:rsidR="0019366A" w:rsidRDefault="0019366A" w:rsidP="0019366A">
      <w:pPr>
        <w:pStyle w:val="ListParagraph"/>
        <w:numPr>
          <w:ilvl w:val="0"/>
          <w:numId w:val="5"/>
        </w:numPr>
        <w:jc w:val="both"/>
      </w:pPr>
      <w:r w:rsidRPr="005C2D2E">
        <w:t>To respond to the request to assume prescribing responsibility in a timely fashion.</w:t>
      </w:r>
    </w:p>
    <w:p w:rsidR="005C2D2E" w:rsidRPr="005C2D2E" w:rsidRDefault="005C2D2E" w:rsidP="0019366A">
      <w:pPr>
        <w:pStyle w:val="ListParagraph"/>
        <w:numPr>
          <w:ilvl w:val="0"/>
          <w:numId w:val="5"/>
        </w:numPr>
        <w:jc w:val="both"/>
      </w:pPr>
      <w:r>
        <w:t>To ensure patient meets criteria for treatment, has had any hypocalcaemia corrected and has received an initial dose of denosumab.</w:t>
      </w:r>
    </w:p>
    <w:p w:rsidR="0019366A" w:rsidRPr="005C2D2E" w:rsidRDefault="0019366A" w:rsidP="0019366A">
      <w:pPr>
        <w:pStyle w:val="ListParagraph"/>
        <w:numPr>
          <w:ilvl w:val="0"/>
          <w:numId w:val="5"/>
        </w:numPr>
        <w:jc w:val="both"/>
      </w:pPr>
      <w:r w:rsidRPr="005C2D2E">
        <w:t xml:space="preserve">To establish a call and recall </w:t>
      </w:r>
      <w:r w:rsidR="005C2D2E" w:rsidRPr="005C2D2E">
        <w:t>system to ensure patients receive denosumab every 6 months.</w:t>
      </w:r>
    </w:p>
    <w:p w:rsidR="005C2D2E" w:rsidRPr="005C2D2E" w:rsidRDefault="005C2D2E" w:rsidP="0019366A">
      <w:pPr>
        <w:pStyle w:val="ListParagraph"/>
        <w:numPr>
          <w:ilvl w:val="0"/>
          <w:numId w:val="5"/>
        </w:numPr>
        <w:jc w:val="both"/>
      </w:pPr>
      <w:r w:rsidRPr="005C2D2E">
        <w:t>To ensure that calcium &amp; vitamin D supplementation is continued throughout denosumab therapy.</w:t>
      </w:r>
    </w:p>
    <w:p w:rsidR="005C2D2E" w:rsidRDefault="005C2D2E" w:rsidP="0019366A">
      <w:pPr>
        <w:pStyle w:val="ListParagraph"/>
        <w:numPr>
          <w:ilvl w:val="0"/>
          <w:numId w:val="5"/>
        </w:numPr>
        <w:jc w:val="both"/>
      </w:pPr>
      <w:r w:rsidRPr="005C2D2E">
        <w:t xml:space="preserve">To check calcium </w:t>
      </w:r>
      <w:r w:rsidR="00F420FA">
        <w:t xml:space="preserve">&amp; </w:t>
      </w:r>
      <w:proofErr w:type="spellStart"/>
      <w:r w:rsidR="00F420FA">
        <w:t>Vit</w:t>
      </w:r>
      <w:proofErr w:type="spellEnd"/>
      <w:r w:rsidR="00F420FA">
        <w:t xml:space="preserve"> D </w:t>
      </w:r>
      <w:proofErr w:type="spellStart"/>
      <w:r w:rsidRPr="005C2D2E">
        <w:t>levels</w:t>
      </w:r>
      <w:proofErr w:type="gramStart"/>
      <w:r w:rsidR="00F420FA">
        <w:t>,and</w:t>
      </w:r>
      <w:proofErr w:type="spellEnd"/>
      <w:proofErr w:type="gramEnd"/>
      <w:r w:rsidR="00F420FA">
        <w:t xml:space="preserve"> renal function before each injection</w:t>
      </w:r>
      <w:r w:rsidRPr="005C2D2E">
        <w:t>.</w:t>
      </w:r>
    </w:p>
    <w:p w:rsidR="00F420FA" w:rsidRPr="005C2D2E" w:rsidRDefault="00F420FA" w:rsidP="0019366A">
      <w:pPr>
        <w:pStyle w:val="ListParagraph"/>
        <w:numPr>
          <w:ilvl w:val="0"/>
          <w:numId w:val="5"/>
        </w:numPr>
        <w:jc w:val="both"/>
      </w:pPr>
      <w:r>
        <w:t xml:space="preserve">To withhold denosumab treatment  and refer to specialist in the event that the patient has hypocalcaemia or vitamin D deficiency that can’t be corrected with appropriate supplementation or if the </w:t>
      </w:r>
      <w:proofErr w:type="spellStart"/>
      <w:r>
        <w:t>EGFr</w:t>
      </w:r>
      <w:proofErr w:type="spellEnd"/>
      <w:r>
        <w:t xml:space="preserve"> is &lt;30.</w:t>
      </w:r>
      <w:r w:rsidR="00D51AEB">
        <w:t xml:space="preserve"> Treatment should also be withheld pending review if the patient suffers an atypical fracture whilst on treatment.</w:t>
      </w:r>
    </w:p>
    <w:p w:rsidR="005C2D2E" w:rsidRDefault="005C2D2E" w:rsidP="0019366A">
      <w:pPr>
        <w:pStyle w:val="ListParagraph"/>
        <w:numPr>
          <w:ilvl w:val="0"/>
          <w:numId w:val="5"/>
        </w:numPr>
        <w:jc w:val="both"/>
      </w:pPr>
      <w:r w:rsidRPr="005C2D2E">
        <w:t>To ensure that staff are adequately trained to administer this treatment by sub-cutaneous injection</w:t>
      </w:r>
    </w:p>
    <w:p w:rsidR="00F420FA" w:rsidRDefault="00F420FA" w:rsidP="0019366A">
      <w:pPr>
        <w:pStyle w:val="ListParagraph"/>
        <w:numPr>
          <w:ilvl w:val="0"/>
          <w:numId w:val="5"/>
        </w:numPr>
        <w:jc w:val="both"/>
      </w:pPr>
      <w:r>
        <w:t xml:space="preserve">To remind the patient to access regular dental check-ups and </w:t>
      </w:r>
      <w:r w:rsidR="00357F4F">
        <w:t xml:space="preserve">to </w:t>
      </w:r>
      <w:r>
        <w:t xml:space="preserve">advise </w:t>
      </w:r>
      <w:r w:rsidR="00357F4F">
        <w:t xml:space="preserve">their </w:t>
      </w:r>
      <w:r>
        <w:t>dentist that receiving denosumab treatment.</w:t>
      </w:r>
    </w:p>
    <w:p w:rsidR="00490A92" w:rsidRDefault="00357F4F" w:rsidP="004D4871">
      <w:pPr>
        <w:pStyle w:val="ListParagraph"/>
        <w:numPr>
          <w:ilvl w:val="0"/>
          <w:numId w:val="5"/>
        </w:numPr>
        <w:jc w:val="both"/>
      </w:pPr>
      <w:r>
        <w:t xml:space="preserve">After the patient has received a total of three years treatment with denosumab, the patient should be referred for a </w:t>
      </w:r>
      <w:proofErr w:type="spellStart"/>
      <w:r>
        <w:t>dexa</w:t>
      </w:r>
      <w:proofErr w:type="spellEnd"/>
      <w:r>
        <w:t xml:space="preserve"> scan and an opinion as to whether treatment should be continued for a further period of three years or stopped.</w:t>
      </w:r>
    </w:p>
    <w:p w:rsidR="00490A92" w:rsidRDefault="00490A92" w:rsidP="004D4871">
      <w:pPr>
        <w:pStyle w:val="ListParagraph"/>
      </w:pPr>
    </w:p>
    <w:p w:rsidR="000D7C5A" w:rsidRDefault="00357F4F" w:rsidP="00957BE6">
      <w:pPr>
        <w:pStyle w:val="ListParagraph"/>
        <w:numPr>
          <w:ilvl w:val="0"/>
          <w:numId w:val="1"/>
        </w:numPr>
        <w:jc w:val="both"/>
        <w:rPr>
          <w:b/>
        </w:rPr>
      </w:pPr>
      <w:r>
        <w:rPr>
          <w:b/>
        </w:rPr>
        <w:t>Referral for Specialist advice</w:t>
      </w:r>
    </w:p>
    <w:p w:rsidR="00357F4F" w:rsidRPr="005F45BE" w:rsidRDefault="00357F4F" w:rsidP="00357F4F">
      <w:pPr>
        <w:jc w:val="both"/>
      </w:pPr>
      <w:r w:rsidRPr="005F45BE">
        <w:t>If at any time the GP becomes concerned about the care of the patient, either due to adverse reaction</w:t>
      </w:r>
      <w:r w:rsidR="005F45BE" w:rsidRPr="005F45BE">
        <w:t xml:space="preserve"> (rare), falling renal function or </w:t>
      </w:r>
      <w:r w:rsidR="00B62CB1" w:rsidRPr="005F45BE">
        <w:t>low calcium</w:t>
      </w:r>
      <w:r w:rsidR="005F45BE" w:rsidRPr="005F45BE">
        <w:t xml:space="preserve"> or </w:t>
      </w:r>
      <w:proofErr w:type="spellStart"/>
      <w:r w:rsidR="005F45BE" w:rsidRPr="005F45BE">
        <w:t>Vit</w:t>
      </w:r>
      <w:proofErr w:type="spellEnd"/>
      <w:r w:rsidR="005F45BE" w:rsidRPr="005F45BE">
        <w:t xml:space="preserve"> D levels, the GP should seek advice in the first instance, followed by referral to the specialist if needed.</w:t>
      </w:r>
    </w:p>
    <w:p w:rsidR="000D7C5A" w:rsidRPr="00063F40" w:rsidRDefault="000D7C5A" w:rsidP="00957BE6">
      <w:pPr>
        <w:pStyle w:val="ListParagraph"/>
        <w:numPr>
          <w:ilvl w:val="0"/>
          <w:numId w:val="1"/>
        </w:numPr>
        <w:jc w:val="both"/>
        <w:rPr>
          <w:b/>
        </w:rPr>
      </w:pPr>
      <w:r w:rsidRPr="00063F40">
        <w:rPr>
          <w:b/>
        </w:rPr>
        <w:t>Period of contract</w:t>
      </w:r>
    </w:p>
    <w:p w:rsidR="000D7C5A" w:rsidRDefault="000D7C5A" w:rsidP="00957BE6">
      <w:pPr>
        <w:jc w:val="both"/>
      </w:pPr>
      <w:r>
        <w:t xml:space="preserve">The contract will run from </w:t>
      </w:r>
      <w:r w:rsidR="000F416F">
        <w:t>July</w:t>
      </w:r>
      <w:r w:rsidR="005F45BE">
        <w:t xml:space="preserve"> 2015</w:t>
      </w:r>
      <w:r>
        <w:t xml:space="preserve"> </w:t>
      </w:r>
      <w:r w:rsidR="006B2467">
        <w:t xml:space="preserve">till </w:t>
      </w:r>
      <w:r w:rsidR="0007350D">
        <w:t>Ma</w:t>
      </w:r>
      <w:r w:rsidR="005F45BE">
        <w:t>rch 2016</w:t>
      </w:r>
      <w:r>
        <w:t xml:space="preserve"> </w:t>
      </w:r>
      <w:r w:rsidR="005F45BE">
        <w:t>in the first instance</w:t>
      </w:r>
    </w:p>
    <w:p w:rsidR="000D7C5A" w:rsidRDefault="005F45BE" w:rsidP="00957BE6">
      <w:pPr>
        <w:pStyle w:val="ListParagraph"/>
        <w:numPr>
          <w:ilvl w:val="0"/>
          <w:numId w:val="1"/>
        </w:numPr>
        <w:jc w:val="both"/>
        <w:rPr>
          <w:b/>
        </w:rPr>
      </w:pPr>
      <w:r>
        <w:rPr>
          <w:b/>
        </w:rPr>
        <w:t>Payment</w:t>
      </w:r>
    </w:p>
    <w:p w:rsidR="005F45BE" w:rsidRDefault="005F45BE" w:rsidP="005F45BE">
      <w:pPr>
        <w:jc w:val="both"/>
      </w:pPr>
      <w:r w:rsidRPr="00C27646">
        <w:t>Provision of this service will attract a payment of £54 for each dose of denosumab administered.</w:t>
      </w:r>
    </w:p>
    <w:p w:rsidR="00B5264B" w:rsidRPr="00C27646" w:rsidRDefault="00B5264B" w:rsidP="005F45BE">
      <w:pPr>
        <w:jc w:val="both"/>
      </w:pPr>
      <w:r>
        <w:t>Claims should be submitted monthly.</w:t>
      </w:r>
      <w:bookmarkStart w:id="0" w:name="_GoBack"/>
      <w:bookmarkEnd w:id="0"/>
    </w:p>
    <w:p w:rsidR="00336876" w:rsidRDefault="00C27646" w:rsidP="00336876">
      <w:pPr>
        <w:sectPr w:rsidR="00336876" w:rsidSect="00336876">
          <w:headerReference w:type="default" r:id="rId15"/>
          <w:footerReference w:type="default" r:id="rId16"/>
          <w:pgSz w:w="11906" w:h="16838"/>
          <w:pgMar w:top="1702" w:right="849" w:bottom="1440" w:left="1440" w:header="283" w:footer="0" w:gutter="0"/>
          <w:cols w:space="708"/>
          <w:docGrid w:linePitch="360"/>
        </w:sectPr>
      </w:pPr>
      <w:r w:rsidRPr="00C27646">
        <w:t xml:space="preserve">In addition </w:t>
      </w:r>
      <w:proofErr w:type="spellStart"/>
      <w:r w:rsidRPr="00C27646">
        <w:t>phelebotomy</w:t>
      </w:r>
      <w:proofErr w:type="spellEnd"/>
      <w:r w:rsidRPr="00C27646">
        <w:t xml:space="preserve"> arrangements for this service will be subject to the same arrangements as other services requiring phlebotomy.</w:t>
      </w:r>
    </w:p>
    <w:p w:rsidR="00C27646" w:rsidRDefault="00C27646" w:rsidP="005F45BE">
      <w:pPr>
        <w:jc w:val="both"/>
      </w:pPr>
      <w:r>
        <w:lastRenderedPageBreak/>
        <w:t xml:space="preserve">For practices that purchase denosumab </w:t>
      </w:r>
      <w:proofErr w:type="gramStart"/>
      <w:r>
        <w:t xml:space="preserve">( </w:t>
      </w:r>
      <w:proofErr w:type="spellStart"/>
      <w:r>
        <w:t>Prolia</w:t>
      </w:r>
      <w:proofErr w:type="spellEnd"/>
      <w:proofErr w:type="gramEnd"/>
      <w:r>
        <w:t xml:space="preserve">), the cost will be recovered by the submission of an FP10 to the NHS Business </w:t>
      </w:r>
      <w:r w:rsidR="00B5264B">
        <w:t>S</w:t>
      </w:r>
      <w:r>
        <w:t xml:space="preserve">ervices </w:t>
      </w:r>
      <w:r w:rsidR="00B5264B">
        <w:t>A</w:t>
      </w:r>
      <w:r>
        <w:t>uthority. Alternatively, practices can issue an FP10 to the patient to be dispense</w:t>
      </w:r>
      <w:r w:rsidR="00B5264B">
        <w:t xml:space="preserve">d as a local community </w:t>
      </w:r>
      <w:proofErr w:type="gramStart"/>
      <w:r w:rsidR="00B62CB1">
        <w:t>pharmacy, that</w:t>
      </w:r>
      <w:proofErr w:type="gramEnd"/>
      <w:r w:rsidR="00B5264B">
        <w:t xml:space="preserve"> can then be taken to the practice for administration.</w:t>
      </w:r>
    </w:p>
    <w:p w:rsidR="00715D93" w:rsidRDefault="00B5264B" w:rsidP="00957BE6">
      <w:pPr>
        <w:pStyle w:val="ListParagraph"/>
        <w:numPr>
          <w:ilvl w:val="0"/>
          <w:numId w:val="1"/>
        </w:numPr>
        <w:jc w:val="both"/>
        <w:rPr>
          <w:b/>
        </w:rPr>
      </w:pPr>
      <w:r>
        <w:rPr>
          <w:b/>
        </w:rPr>
        <w:t>Record keeping.</w:t>
      </w:r>
    </w:p>
    <w:p w:rsidR="00B5264B" w:rsidRDefault="00B5264B" w:rsidP="00B5264B">
      <w:pPr>
        <w:jc w:val="both"/>
      </w:pPr>
      <w:r w:rsidRPr="00B5264B">
        <w:t>The attached guidance sets out how the register for patients should be established on EMIS-Web, and also how the recall arrangements can be established.</w:t>
      </w:r>
    </w:p>
    <w:p w:rsidR="00CB5B87" w:rsidRPr="00B5264B" w:rsidRDefault="00CB5B87" w:rsidP="00B5264B">
      <w:pPr>
        <w:jc w:val="both"/>
      </w:pPr>
      <w:r>
        <w:t>Similar support is available for other clinical systems.</w:t>
      </w:r>
    </w:p>
    <w:p w:rsidR="00336876" w:rsidRDefault="00B5264B" w:rsidP="00B5264B">
      <w:pPr>
        <w:jc w:val="both"/>
        <w:sectPr w:rsidR="00336876" w:rsidSect="00336876">
          <w:footerReference w:type="default" r:id="rId17"/>
          <w:pgSz w:w="11906" w:h="16838"/>
          <w:pgMar w:top="1702" w:right="849" w:bottom="1440" w:left="1440" w:header="283" w:footer="0" w:gutter="0"/>
          <w:cols w:space="708"/>
          <w:docGrid w:linePitch="360"/>
        </w:sectPr>
      </w:pPr>
      <w:r w:rsidRPr="00B5264B">
        <w:t xml:space="preserve">Compliance with this guidance will ensure that practices also meet any related standards that support </w:t>
      </w:r>
      <w:proofErr w:type="spellStart"/>
      <w:r w:rsidRPr="00B5264B">
        <w:t>QoF</w:t>
      </w:r>
      <w:proofErr w:type="spellEnd"/>
      <w:r w:rsidRPr="00B5264B">
        <w:t xml:space="preserve"> achievement.</w:t>
      </w:r>
    </w:p>
    <w:p w:rsidR="00B5264B" w:rsidRPr="004F43BD" w:rsidRDefault="00860CE2" w:rsidP="004F43BD">
      <w:pPr>
        <w:rPr>
          <w:b/>
          <w:sz w:val="28"/>
        </w:rPr>
      </w:pPr>
      <w:r w:rsidRPr="004F43BD">
        <w:rPr>
          <w:b/>
          <w:sz w:val="28"/>
        </w:rPr>
        <w:lastRenderedPageBreak/>
        <w:t>Flowchart</w:t>
      </w:r>
    </w:p>
    <w:p w:rsidR="00137283" w:rsidRDefault="00860CE2" w:rsidP="000B5255">
      <w:r>
        <w:rPr>
          <w:noProof/>
          <w:lang w:eastAsia="en-GB"/>
        </w:rPr>
        <mc:AlternateContent>
          <mc:Choice Requires="wps">
            <w:drawing>
              <wp:anchor distT="0" distB="0" distL="114300" distR="114300" simplePos="0" relativeHeight="251659264" behindDoc="0" locked="0" layoutInCell="1" allowOverlap="1" wp14:anchorId="23753606" wp14:editId="62A648F6">
                <wp:simplePos x="0" y="0"/>
                <wp:positionH relativeFrom="column">
                  <wp:align>center</wp:align>
                </wp:positionH>
                <wp:positionV relativeFrom="paragraph">
                  <wp:posOffset>0</wp:posOffset>
                </wp:positionV>
                <wp:extent cx="2374265" cy="1403985"/>
                <wp:effectExtent l="0" t="0" r="14605" b="2794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860CE2" w:rsidRDefault="00C11455">
                            <w:r w:rsidRPr="00C11455">
                              <w:rPr>
                                <w:b/>
                                <w:color w:val="FF0000"/>
                              </w:rPr>
                              <w:t>Secondary care</w:t>
                            </w:r>
                            <w:r>
                              <w:rPr>
                                <w:b/>
                                <w:color w:val="FF0000"/>
                              </w:rPr>
                              <w:t>:-</w:t>
                            </w:r>
                            <w:r w:rsidR="00860CE2">
                              <w:t>Patient identified as eligible for Denosumab in secondary care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186.95pt;height:110.55pt;z-index:251659264;visibility:visible;mso-wrap-style:square;mso-width-percent:400;mso-height-percent:200;mso-wrap-distance-left:9pt;mso-wrap-distance-top:0;mso-wrap-distance-right:9pt;mso-wrap-distance-bottom:0;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v:textbox style="mso-fit-shape-to-text:t">
                  <w:txbxContent>
                    <w:p w:rsidR="00860CE2" w:rsidRDefault="00C11455">
                      <w:r w:rsidRPr="00C11455">
                        <w:rPr>
                          <w:b/>
                          <w:color w:val="FF0000"/>
                        </w:rPr>
                        <w:t>Secondary care</w:t>
                      </w:r>
                      <w:r>
                        <w:rPr>
                          <w:b/>
                          <w:color w:val="FF0000"/>
                        </w:rPr>
                        <w:t>:-</w:t>
                      </w:r>
                      <w:r w:rsidR="00860CE2">
                        <w:t>Patient identified as eligible for Denosumab in secondary care</w:t>
                      </w:r>
                    </w:p>
                  </w:txbxContent>
                </v:textbox>
              </v:shape>
            </w:pict>
          </mc:Fallback>
        </mc:AlternateContent>
      </w:r>
    </w:p>
    <w:p w:rsidR="00715D93" w:rsidRDefault="00860CE2" w:rsidP="00957BE6">
      <w:pPr>
        <w:jc w:val="both"/>
      </w:pPr>
      <w:r>
        <w:rPr>
          <w:noProof/>
          <w:lang w:eastAsia="en-GB"/>
        </w:rPr>
        <mc:AlternateContent>
          <mc:Choice Requires="wps">
            <w:drawing>
              <wp:anchor distT="0" distB="0" distL="114300" distR="114300" simplePos="0" relativeHeight="251662336" behindDoc="0" locked="0" layoutInCell="1" allowOverlap="1" wp14:anchorId="2049FBD5" wp14:editId="514ED486">
                <wp:simplePos x="0" y="0"/>
                <wp:positionH relativeFrom="column">
                  <wp:posOffset>2885704</wp:posOffset>
                </wp:positionH>
                <wp:positionV relativeFrom="paragraph">
                  <wp:posOffset>297634</wp:posOffset>
                </wp:positionV>
                <wp:extent cx="11875" cy="354016"/>
                <wp:effectExtent l="57150" t="0" r="83820" b="65405"/>
                <wp:wrapNone/>
                <wp:docPr id="3" name="Straight Arrow Connector 3"/>
                <wp:cNvGraphicFramePr/>
                <a:graphic xmlns:a="http://schemas.openxmlformats.org/drawingml/2006/main">
                  <a:graphicData uri="http://schemas.microsoft.com/office/word/2010/wordprocessingShape">
                    <wps:wsp>
                      <wps:cNvCnPr/>
                      <wps:spPr>
                        <a:xfrm>
                          <a:off x="0" y="0"/>
                          <a:ext cx="11875" cy="35401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227.2pt;margin-top:23.45pt;width:.95pt;height:27.9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" strokecolor="#4579b8 [3044]">
                <v:stroke endarrow="open"/>
              </v:shape>
            </w:pict>
          </mc:Fallback>
        </mc:AlternateContent>
      </w:r>
    </w:p>
    <w:p w:rsidR="00860CE2" w:rsidRDefault="00860CE2" w:rsidP="00957BE6">
      <w:pPr>
        <w:jc w:val="both"/>
      </w:pPr>
    </w:p>
    <w:p w:rsidR="00860CE2" w:rsidRDefault="00860CE2" w:rsidP="00957BE6">
      <w:pPr>
        <w:jc w:val="both"/>
      </w:pPr>
      <w:r>
        <w:rPr>
          <w:noProof/>
          <w:lang w:eastAsia="en-GB"/>
        </w:rPr>
        <mc:AlternateContent>
          <mc:Choice Requires="wps">
            <w:drawing>
              <wp:anchor distT="0" distB="0" distL="114300" distR="114300" simplePos="0" relativeHeight="251661312" behindDoc="0" locked="0" layoutInCell="1" allowOverlap="1" wp14:anchorId="583BF0B8" wp14:editId="0E8EAD18">
                <wp:simplePos x="0" y="0"/>
                <wp:positionH relativeFrom="column">
                  <wp:align>center</wp:align>
                </wp:positionH>
                <wp:positionV relativeFrom="paragraph">
                  <wp:posOffset>0</wp:posOffset>
                </wp:positionV>
                <wp:extent cx="2374265" cy="1403985"/>
                <wp:effectExtent l="0" t="0" r="14605" b="171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C11455" w:rsidRPr="00C11455" w:rsidRDefault="00C11455">
                            <w:pPr>
                              <w:rPr>
                                <w:b/>
                                <w:color w:val="FF0000"/>
                              </w:rPr>
                            </w:pPr>
                            <w:r w:rsidRPr="00C11455">
                              <w:rPr>
                                <w:b/>
                                <w:color w:val="FF0000"/>
                              </w:rPr>
                              <w:t>Secondary care:-</w:t>
                            </w:r>
                          </w:p>
                          <w:p w:rsidR="00860CE2" w:rsidRDefault="00860CE2">
                            <w:proofErr w:type="gramStart"/>
                            <w:r>
                              <w:t>Baseline bloods taken – any hypocalcaemia corrected in acute.</w:t>
                            </w:r>
                            <w:proofErr w:type="gramEnd"/>
                            <w:r>
                              <w:t xml:space="preserve"> Renal function assessed, and first </w:t>
                            </w:r>
                            <w:proofErr w:type="gramStart"/>
                            <w:r>
                              <w:t>dose  of</w:t>
                            </w:r>
                            <w:proofErr w:type="gramEnd"/>
                            <w:r>
                              <w:t xml:space="preserve"> denosumab given.</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7" type="#_x0000_t202" style="position:absolute;left:0;text-align:left;margin-left:0;margin-top:0;width:186.95pt;height:110.55pt;z-index:251661312;visibility:visible;mso-wrap-style:square;mso-width-percent:400;mso-height-percent:200;mso-wrap-distance-left:9pt;mso-wrap-distance-top:0;mso-wrap-distance-right:9pt;mso-wrap-distance-bottom:0;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">
                <v:textbox style="mso-fit-shape-to-text:t">
                  <w:txbxContent>
                    <w:p w:rsidR="00C11455" w:rsidRPr="00C11455" w:rsidRDefault="00C11455">
                      <w:pPr>
                        <w:rPr>
                          <w:b/>
                          <w:color w:val="FF0000"/>
                        </w:rPr>
                      </w:pPr>
                      <w:r w:rsidRPr="00C11455">
                        <w:rPr>
                          <w:b/>
                          <w:color w:val="FF0000"/>
                        </w:rPr>
                        <w:t>Secondary care:-</w:t>
                      </w:r>
                    </w:p>
                    <w:p w:rsidR="00860CE2" w:rsidRDefault="00860CE2">
                      <w:r>
                        <w:t>Baseline bloods taken – any hypocalcaemia corrected in acute. Renal function assessed, and first dose  of denosumab given.</w:t>
                      </w:r>
                    </w:p>
                  </w:txbxContent>
                </v:textbox>
              </v:shape>
            </w:pict>
          </mc:Fallback>
        </mc:AlternateContent>
      </w:r>
    </w:p>
    <w:p w:rsidR="00860CE2" w:rsidRDefault="00860CE2" w:rsidP="00860CE2"/>
    <w:p w:rsidR="00860CE2" w:rsidRDefault="00860CE2" w:rsidP="00860CE2">
      <w:pPr>
        <w:tabs>
          <w:tab w:val="left" w:pos="6919"/>
        </w:tabs>
      </w:pPr>
      <w:r>
        <w:tab/>
      </w:r>
    </w:p>
    <w:p w:rsidR="00860CE2" w:rsidRDefault="00C11455" w:rsidP="00860CE2">
      <w:pPr>
        <w:tabs>
          <w:tab w:val="left" w:pos="6919"/>
        </w:tabs>
      </w:pPr>
      <w:r>
        <w:rPr>
          <w:noProof/>
          <w:lang w:eastAsia="en-GB"/>
        </w:rPr>
        <mc:AlternateContent>
          <mc:Choice Requires="wps">
            <w:drawing>
              <wp:anchor distT="0" distB="0" distL="114300" distR="114300" simplePos="0" relativeHeight="251666432" behindDoc="0" locked="0" layoutInCell="1" allowOverlap="1" wp14:anchorId="12933AED" wp14:editId="35485B55">
                <wp:simplePos x="0" y="0"/>
                <wp:positionH relativeFrom="column">
                  <wp:posOffset>4251366</wp:posOffset>
                </wp:positionH>
                <wp:positionV relativeFrom="paragraph">
                  <wp:posOffset>199992</wp:posOffset>
                </wp:positionV>
                <wp:extent cx="331462" cy="270188"/>
                <wp:effectExtent l="0" t="0" r="69215" b="53975"/>
                <wp:wrapNone/>
                <wp:docPr id="8" name="Straight Arrow Connector 8"/>
                <wp:cNvGraphicFramePr/>
                <a:graphic xmlns:a="http://schemas.openxmlformats.org/drawingml/2006/main">
                  <a:graphicData uri="http://schemas.microsoft.com/office/word/2010/wordprocessingShape">
                    <wps:wsp>
                      <wps:cNvCnPr/>
                      <wps:spPr>
                        <a:xfrm>
                          <a:off x="0" y="0"/>
                          <a:ext cx="331462" cy="27018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34.75pt;margin-top:15.75pt;width:26.1pt;height:2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" strokecolor="#4579b8 [3044]">
                <v:stroke endarrow="open"/>
              </v:shape>
            </w:pict>
          </mc:Fallback>
        </mc:AlternateContent>
      </w:r>
      <w:r>
        <w:rPr>
          <w:noProof/>
          <w:lang w:eastAsia="en-GB"/>
        </w:rPr>
        <mc:AlternateContent>
          <mc:Choice Requires="wps">
            <w:drawing>
              <wp:anchor distT="0" distB="0" distL="114300" distR="114300" simplePos="0" relativeHeight="251665408" behindDoc="0" locked="0" layoutInCell="1" allowOverlap="1" wp14:anchorId="33E49F6D" wp14:editId="64C4E061">
                <wp:simplePos x="0" y="0"/>
                <wp:positionH relativeFrom="column">
                  <wp:posOffset>1947545</wp:posOffset>
                </wp:positionH>
                <wp:positionV relativeFrom="paragraph">
                  <wp:posOffset>294640</wp:posOffset>
                </wp:positionV>
                <wp:extent cx="213360" cy="247015"/>
                <wp:effectExtent l="38100" t="0" r="34290" b="57785"/>
                <wp:wrapNone/>
                <wp:docPr id="7" name="Straight Arrow Connector 7"/>
                <wp:cNvGraphicFramePr/>
                <a:graphic xmlns:a="http://schemas.openxmlformats.org/drawingml/2006/main">
                  <a:graphicData uri="http://schemas.microsoft.com/office/word/2010/wordprocessingShape">
                    <wps:wsp>
                      <wps:cNvCnPr/>
                      <wps:spPr>
                        <a:xfrm flipH="1">
                          <a:off x="0" y="0"/>
                          <a:ext cx="213360" cy="2470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 o:spid="_x0000_s1026" type="#_x0000_t32" style="position:absolute;margin-left:153.35pt;margin-top:23.2pt;width:16.8pt;height:19.4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" strokecolor="#4579b8 [3044]">
                <v:stroke endarrow="open"/>
              </v:shape>
            </w:pict>
          </mc:Fallback>
        </mc:AlternateContent>
      </w:r>
    </w:p>
    <w:p w:rsidR="00A24096" w:rsidRDefault="008742CE" w:rsidP="00860CE2">
      <w:pPr>
        <w:tabs>
          <w:tab w:val="left" w:pos="6919"/>
        </w:tabs>
      </w:pPr>
      <w:r>
        <w:rPr>
          <w:noProof/>
          <w:lang w:eastAsia="en-GB"/>
        </w:rPr>
        <mc:AlternateContent>
          <mc:Choice Requires="wps">
            <w:drawing>
              <wp:anchor distT="0" distB="0" distL="114300" distR="114300" simplePos="0" relativeHeight="251679744" behindDoc="0" locked="0" layoutInCell="1" allowOverlap="1" wp14:anchorId="6FE0C386" wp14:editId="1CB9E72A">
                <wp:simplePos x="0" y="0"/>
                <wp:positionH relativeFrom="column">
                  <wp:posOffset>2588664</wp:posOffset>
                </wp:positionH>
                <wp:positionV relativeFrom="paragraph">
                  <wp:posOffset>6111322</wp:posOffset>
                </wp:positionV>
                <wp:extent cx="1318318" cy="11876"/>
                <wp:effectExtent l="0" t="76200" r="15240" b="102870"/>
                <wp:wrapNone/>
                <wp:docPr id="22" name="Straight Arrow Connector 22"/>
                <wp:cNvGraphicFramePr/>
                <a:graphic xmlns:a="http://schemas.openxmlformats.org/drawingml/2006/main">
                  <a:graphicData uri="http://schemas.microsoft.com/office/word/2010/wordprocessingShape">
                    <wps:wsp>
                      <wps:cNvCnPr/>
                      <wps:spPr>
                        <a:xfrm flipV="1">
                          <a:off x="0" y="0"/>
                          <a:ext cx="1318318" cy="1187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2" o:spid="_x0000_s1026" type="#_x0000_t32" style="position:absolute;margin-left:203.85pt;margin-top:481.2pt;width:103.8pt;height:.95pt;flip:y;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" strokecolor="#4579b8 [3044]">
                <v:stroke endarrow="open"/>
              </v:shape>
            </w:pict>
          </mc:Fallback>
        </mc:AlternateContent>
      </w:r>
      <w:r>
        <w:rPr>
          <w:noProof/>
          <w:lang w:eastAsia="en-GB"/>
        </w:rPr>
        <mc:AlternateContent>
          <mc:Choice Requires="wps">
            <w:drawing>
              <wp:anchor distT="0" distB="0" distL="114300" distR="114300" simplePos="0" relativeHeight="251678720" behindDoc="0" locked="0" layoutInCell="1" allowOverlap="1" wp14:anchorId="22E5F6EC" wp14:editId="6B3E8C34">
                <wp:simplePos x="0" y="0"/>
                <wp:positionH relativeFrom="column">
                  <wp:posOffset>4061361</wp:posOffset>
                </wp:positionH>
                <wp:positionV relativeFrom="paragraph">
                  <wp:posOffset>5137546</wp:posOffset>
                </wp:positionV>
                <wp:extent cx="1959429" cy="1448130"/>
                <wp:effectExtent l="0" t="0" r="22225" b="19050"/>
                <wp:wrapNone/>
                <wp:docPr id="21" name="Rounded Rectangle 21"/>
                <wp:cNvGraphicFramePr/>
                <a:graphic xmlns:a="http://schemas.openxmlformats.org/drawingml/2006/main">
                  <a:graphicData uri="http://schemas.microsoft.com/office/word/2010/wordprocessingShape">
                    <wps:wsp>
                      <wps:cNvSpPr/>
                      <wps:spPr>
                        <a:xfrm>
                          <a:off x="0" y="0"/>
                          <a:ext cx="1959429" cy="144813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8742CE" w:rsidRDefault="008742CE" w:rsidP="008742CE">
                            <w:pPr>
                              <w:jc w:val="center"/>
                            </w:pPr>
                            <w:r>
                              <w:t xml:space="preserve">After a total of three years treatment refer for </w:t>
                            </w:r>
                            <w:proofErr w:type="spellStart"/>
                            <w:r>
                              <w:t>dexa</w:t>
                            </w:r>
                            <w:proofErr w:type="spellEnd"/>
                            <w:r>
                              <w:t xml:space="preserve"> scan and opinion as to whether treatment is to continue in light of fracture risk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21" o:spid="_x0000_s1028" style="position:absolute;margin-left:319.8pt;margin-top:404.55pt;width:154.3pt;height:114.0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" fillcolor="white [3201]" strokecolor="#f79646 [3209]" strokeweight="2pt">
                <v:textbox>
                  <w:txbxContent>
                    <w:p w:rsidR="008742CE" w:rsidRDefault="008742CE" w:rsidP="008742CE">
                      <w:pPr>
                        <w:jc w:val="center"/>
                      </w:pPr>
                      <w:r>
                        <w:t>After a total of three years treatment refer for dexa scan and opinion as to whether treatment is to continue in light of fracture risk</w:t>
                      </w:r>
                    </w:p>
                  </w:txbxContent>
                </v:textbox>
              </v:roundrect>
            </w:pict>
          </mc:Fallback>
        </mc:AlternateContent>
      </w:r>
      <w:r>
        <w:rPr>
          <w:noProof/>
          <w:lang w:eastAsia="en-GB"/>
        </w:rPr>
        <mc:AlternateContent>
          <mc:Choice Requires="wps">
            <w:drawing>
              <wp:anchor distT="0" distB="0" distL="114300" distR="114300" simplePos="0" relativeHeight="251677696" behindDoc="0" locked="0" layoutInCell="1" allowOverlap="1" wp14:anchorId="5995AA3D" wp14:editId="5DB0D008">
                <wp:simplePos x="0" y="0"/>
                <wp:positionH relativeFrom="column">
                  <wp:posOffset>831273</wp:posOffset>
                </wp:positionH>
                <wp:positionV relativeFrom="paragraph">
                  <wp:posOffset>5232045</wp:posOffset>
                </wp:positionV>
                <wp:extent cx="0" cy="475516"/>
                <wp:effectExtent l="95250" t="0" r="57150" b="58420"/>
                <wp:wrapNone/>
                <wp:docPr id="20" name="Straight Arrow Connector 20"/>
                <wp:cNvGraphicFramePr/>
                <a:graphic xmlns:a="http://schemas.openxmlformats.org/drawingml/2006/main">
                  <a:graphicData uri="http://schemas.microsoft.com/office/word/2010/wordprocessingShape">
                    <wps:wsp>
                      <wps:cNvCnPr/>
                      <wps:spPr>
                        <a:xfrm>
                          <a:off x="0" y="0"/>
                          <a:ext cx="0" cy="47551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0" o:spid="_x0000_s1026" type="#_x0000_t32" style="position:absolute;margin-left:65.45pt;margin-top:411.95pt;width:0;height:37.4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" strokecolor="#4579b8 [3044]">
                <v:stroke endarrow="open"/>
              </v:shape>
            </w:pict>
          </mc:Fallback>
        </mc:AlternateContent>
      </w:r>
      <w:r>
        <w:rPr>
          <w:noProof/>
          <w:lang w:eastAsia="en-GB"/>
        </w:rPr>
        <mc:AlternateContent>
          <mc:Choice Requires="wps">
            <w:drawing>
              <wp:anchor distT="0" distB="0" distL="114300" distR="114300" simplePos="0" relativeHeight="251676672" behindDoc="0" locked="0" layoutInCell="1" allowOverlap="1" wp14:anchorId="6329B5FF" wp14:editId="5237D17A">
                <wp:simplePos x="0" y="0"/>
                <wp:positionH relativeFrom="column">
                  <wp:posOffset>831273</wp:posOffset>
                </wp:positionH>
                <wp:positionV relativeFrom="paragraph">
                  <wp:posOffset>3997135</wp:posOffset>
                </wp:positionV>
                <wp:extent cx="0" cy="392265"/>
                <wp:effectExtent l="95250" t="0" r="114300" b="65405"/>
                <wp:wrapNone/>
                <wp:docPr id="19" name="Straight Arrow Connector 19"/>
                <wp:cNvGraphicFramePr/>
                <a:graphic xmlns:a="http://schemas.openxmlformats.org/drawingml/2006/main">
                  <a:graphicData uri="http://schemas.microsoft.com/office/word/2010/wordprocessingShape">
                    <wps:wsp>
                      <wps:cNvCnPr/>
                      <wps:spPr>
                        <a:xfrm>
                          <a:off x="0" y="0"/>
                          <a:ext cx="0" cy="3922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9" o:spid="_x0000_s1026" type="#_x0000_t32" style="position:absolute;margin-left:65.45pt;margin-top:314.75pt;width:0;height:30.9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" strokecolor="#4579b8 [3044]">
                <v:stroke endarrow="open"/>
              </v:shape>
            </w:pict>
          </mc:Fallback>
        </mc:AlternateContent>
      </w:r>
      <w:r>
        <w:rPr>
          <w:noProof/>
          <w:lang w:eastAsia="en-GB"/>
        </w:rPr>
        <mc:AlternateContent>
          <mc:Choice Requires="wps">
            <w:drawing>
              <wp:anchor distT="0" distB="0" distL="114300" distR="114300" simplePos="0" relativeHeight="251675648" behindDoc="0" locked="0" layoutInCell="1" allowOverlap="1" wp14:anchorId="426C06FE" wp14:editId="455517AA">
                <wp:simplePos x="0" y="0"/>
                <wp:positionH relativeFrom="column">
                  <wp:posOffset>831273</wp:posOffset>
                </wp:positionH>
                <wp:positionV relativeFrom="paragraph">
                  <wp:posOffset>2512415</wp:posOffset>
                </wp:positionV>
                <wp:extent cx="0" cy="594450"/>
                <wp:effectExtent l="95250" t="0" r="57150" b="53340"/>
                <wp:wrapNone/>
                <wp:docPr id="18" name="Straight Arrow Connector 18"/>
                <wp:cNvGraphicFramePr/>
                <a:graphic xmlns:a="http://schemas.openxmlformats.org/drawingml/2006/main">
                  <a:graphicData uri="http://schemas.microsoft.com/office/word/2010/wordprocessingShape">
                    <wps:wsp>
                      <wps:cNvCnPr/>
                      <wps:spPr>
                        <a:xfrm>
                          <a:off x="0" y="0"/>
                          <a:ext cx="0" cy="5944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8" o:spid="_x0000_s1026" type="#_x0000_t32" style="position:absolute;margin-left:65.45pt;margin-top:197.85pt;width:0;height:46.8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" strokecolor="#4579b8 [3044]">
                <v:stroke endarrow="open"/>
              </v:shape>
            </w:pict>
          </mc:Fallback>
        </mc:AlternateContent>
      </w:r>
      <w:r>
        <w:rPr>
          <w:noProof/>
          <w:lang w:eastAsia="en-GB"/>
        </w:rPr>
        <mc:AlternateContent>
          <mc:Choice Requires="wps">
            <w:drawing>
              <wp:anchor distT="0" distB="0" distL="114300" distR="114300" simplePos="0" relativeHeight="251674624" behindDoc="0" locked="0" layoutInCell="1" allowOverlap="1" wp14:anchorId="6C79A2FB" wp14:editId="116E694D">
                <wp:simplePos x="0" y="0"/>
                <wp:positionH relativeFrom="column">
                  <wp:posOffset>106878</wp:posOffset>
                </wp:positionH>
                <wp:positionV relativeFrom="paragraph">
                  <wp:posOffset>5707561</wp:posOffset>
                </wp:positionV>
                <wp:extent cx="2362513" cy="878774"/>
                <wp:effectExtent l="0" t="0" r="19050" b="17145"/>
                <wp:wrapNone/>
                <wp:docPr id="17" name="Rounded Rectangle 17"/>
                <wp:cNvGraphicFramePr/>
                <a:graphic xmlns:a="http://schemas.openxmlformats.org/drawingml/2006/main">
                  <a:graphicData uri="http://schemas.microsoft.com/office/word/2010/wordprocessingShape">
                    <wps:wsp>
                      <wps:cNvSpPr/>
                      <wps:spPr>
                        <a:xfrm>
                          <a:off x="0" y="0"/>
                          <a:ext cx="2362513" cy="878774"/>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8742CE" w:rsidRDefault="008742CE" w:rsidP="008742CE">
                            <w:pPr>
                              <w:jc w:val="center"/>
                            </w:pPr>
                            <w:r>
                              <w:t>If bloods and renal function OK administer dose of denosumab and arrange recall &amp; repeat above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7" o:spid="_x0000_s1029" style="position:absolute;margin-left:8.4pt;margin-top:449.4pt;width:186pt;height:69.2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" fillcolor="white [3201]" strokecolor="#f79646 [3209]" strokeweight="2pt">
                <v:textbox>
                  <w:txbxContent>
                    <w:p w:rsidR="008742CE" w:rsidRDefault="008742CE" w:rsidP="008742CE">
                      <w:pPr>
                        <w:jc w:val="center"/>
                      </w:pPr>
                      <w:r>
                        <w:t>If bloods and renal function OK administer dose of denosumab and arrange recall &amp; repeat above</w:t>
                      </w:r>
                    </w:p>
                  </w:txbxContent>
                </v:textbox>
              </v:roundrect>
            </w:pict>
          </mc:Fallback>
        </mc:AlternateContent>
      </w:r>
      <w:r>
        <w:rPr>
          <w:noProof/>
          <w:lang w:eastAsia="en-GB"/>
        </w:rPr>
        <mc:AlternateContent>
          <mc:Choice Requires="wps">
            <w:drawing>
              <wp:anchor distT="0" distB="0" distL="114300" distR="114300" simplePos="0" relativeHeight="251673600" behindDoc="0" locked="0" layoutInCell="1" allowOverlap="1" wp14:anchorId="53CA7B06" wp14:editId="19DE7D08">
                <wp:simplePos x="0" y="0"/>
                <wp:positionH relativeFrom="column">
                  <wp:posOffset>46990</wp:posOffset>
                </wp:positionH>
                <wp:positionV relativeFrom="paragraph">
                  <wp:posOffset>4389120</wp:posOffset>
                </wp:positionV>
                <wp:extent cx="2421890" cy="842645"/>
                <wp:effectExtent l="0" t="0" r="16510" b="14605"/>
                <wp:wrapNone/>
                <wp:docPr id="16" name="Rounded Rectangle 16"/>
                <wp:cNvGraphicFramePr/>
                <a:graphic xmlns:a="http://schemas.openxmlformats.org/drawingml/2006/main">
                  <a:graphicData uri="http://schemas.microsoft.com/office/word/2010/wordprocessingShape">
                    <wps:wsp>
                      <wps:cNvSpPr/>
                      <wps:spPr>
                        <a:xfrm>
                          <a:off x="0" y="0"/>
                          <a:ext cx="2421890" cy="84264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8742CE" w:rsidRDefault="008742CE" w:rsidP="008742CE">
                            <w:pPr>
                              <w:jc w:val="center"/>
                            </w:pPr>
                            <w:r>
                              <w:t>Prior to next dose- check renal function, and bloods for calcium and VIT D levels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6" o:spid="_x0000_s1030" style="position:absolute;margin-left:3.7pt;margin-top:345.6pt;width:190.7pt;height:66.3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" fillcolor="white [3201]" strokecolor="#f79646 [3209]" strokeweight="2pt">
                <v:textbox>
                  <w:txbxContent>
                    <w:p w:rsidR="008742CE" w:rsidRDefault="008742CE" w:rsidP="008742CE">
                      <w:pPr>
                        <w:jc w:val="center"/>
                      </w:pPr>
                      <w:r>
                        <w:t>Prior to next dose- check renal function, and bloods for calcium and VIT D levels</w:t>
                      </w:r>
                    </w:p>
                  </w:txbxContent>
                </v:textbox>
              </v:roundrect>
            </w:pict>
          </mc:Fallback>
        </mc:AlternateContent>
      </w:r>
      <w:r>
        <w:rPr>
          <w:noProof/>
          <w:lang w:eastAsia="en-GB"/>
        </w:rPr>
        <mc:AlternateContent>
          <mc:Choice Requires="wps">
            <w:drawing>
              <wp:anchor distT="0" distB="0" distL="114300" distR="114300" simplePos="0" relativeHeight="251672576" behindDoc="0" locked="0" layoutInCell="1" allowOverlap="1" wp14:anchorId="076F6C4F" wp14:editId="589AC25A">
                <wp:simplePos x="0" y="0"/>
                <wp:positionH relativeFrom="column">
                  <wp:posOffset>47501</wp:posOffset>
                </wp:positionH>
                <wp:positionV relativeFrom="paragraph">
                  <wp:posOffset>3106865</wp:posOffset>
                </wp:positionV>
                <wp:extent cx="2849245" cy="890650"/>
                <wp:effectExtent l="0" t="0" r="27305" b="24130"/>
                <wp:wrapNone/>
                <wp:docPr id="15" name="Rounded Rectangle 15"/>
                <wp:cNvGraphicFramePr/>
                <a:graphic xmlns:a="http://schemas.openxmlformats.org/drawingml/2006/main">
                  <a:graphicData uri="http://schemas.microsoft.com/office/word/2010/wordprocessingShape">
                    <wps:wsp>
                      <wps:cNvSpPr/>
                      <wps:spPr>
                        <a:xfrm>
                          <a:off x="0" y="0"/>
                          <a:ext cx="2849245" cy="8906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8742CE" w:rsidRDefault="008742CE" w:rsidP="008742CE">
                            <w:pPr>
                              <w:pStyle w:val="NoSpacing"/>
                            </w:pPr>
                            <w:r>
                              <w:t>GP enters the details onto EMIS in accordance with guidance and establishes recall system, and ensure calcium &amp; VIT D Supplements prescribed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5" o:spid="_x0000_s1031" style="position:absolute;margin-left:3.75pt;margin-top:244.65pt;width:224.35pt;height:70.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" fillcolor="white [3201]" strokecolor="#f79646 [3209]" strokeweight="2pt">
                <v:textbox>
                  <w:txbxContent>
                    <w:p w:rsidR="008742CE" w:rsidRDefault="008742CE" w:rsidP="008742CE">
                      <w:pPr>
                        <w:pStyle w:val="NoSpacing"/>
                      </w:pPr>
                      <w:r>
                        <w:t>GP enters the details onto EMIS in accordance with guidance and establishes recall system, and ensure calcium &amp; VIT D Supplements prescribed</w:t>
                      </w:r>
                    </w:p>
                  </w:txbxContent>
                </v:textbox>
              </v:roundrect>
            </w:pict>
          </mc:Fallback>
        </mc:AlternateContent>
      </w:r>
      <w:r>
        <w:rPr>
          <w:noProof/>
          <w:lang w:eastAsia="en-GB"/>
        </w:rPr>
        <mc:AlternateContent>
          <mc:Choice Requires="wps">
            <w:drawing>
              <wp:anchor distT="0" distB="0" distL="114300" distR="114300" simplePos="0" relativeHeight="251671552" behindDoc="0" locked="0" layoutInCell="1" allowOverlap="1" wp14:anchorId="441EE49D" wp14:editId="703546C8">
                <wp:simplePos x="0" y="0"/>
                <wp:positionH relativeFrom="column">
                  <wp:posOffset>997527</wp:posOffset>
                </wp:positionH>
                <wp:positionV relativeFrom="paragraph">
                  <wp:posOffset>1218689</wp:posOffset>
                </wp:positionV>
                <wp:extent cx="0" cy="498541"/>
                <wp:effectExtent l="95250" t="0" r="57150" b="53975"/>
                <wp:wrapNone/>
                <wp:docPr id="14" name="Straight Arrow Connector 14"/>
                <wp:cNvGraphicFramePr/>
                <a:graphic xmlns:a="http://schemas.openxmlformats.org/drawingml/2006/main">
                  <a:graphicData uri="http://schemas.microsoft.com/office/word/2010/wordprocessingShape">
                    <wps:wsp>
                      <wps:cNvCnPr/>
                      <wps:spPr>
                        <a:xfrm>
                          <a:off x="0" y="0"/>
                          <a:ext cx="0" cy="49854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4" o:spid="_x0000_s1026" type="#_x0000_t32" style="position:absolute;margin-left:78.55pt;margin-top:95.95pt;width:0;height:39.2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" strokecolor="#4579b8 [3044]">
                <v:stroke endarrow="open"/>
              </v:shape>
            </w:pict>
          </mc:Fallback>
        </mc:AlternateContent>
      </w:r>
      <w:r>
        <w:rPr>
          <w:noProof/>
          <w:lang w:eastAsia="en-GB"/>
        </w:rPr>
        <mc:AlternateContent>
          <mc:Choice Requires="wps">
            <w:drawing>
              <wp:anchor distT="0" distB="0" distL="114300" distR="114300" simplePos="0" relativeHeight="251670528" behindDoc="0" locked="0" layoutInCell="1" allowOverlap="1" wp14:anchorId="46E94823" wp14:editId="7E814CB0">
                <wp:simplePos x="0" y="0"/>
                <wp:positionH relativeFrom="column">
                  <wp:posOffset>47105</wp:posOffset>
                </wp:positionH>
                <wp:positionV relativeFrom="paragraph">
                  <wp:posOffset>1800093</wp:posOffset>
                </wp:positionV>
                <wp:extent cx="1781298" cy="712338"/>
                <wp:effectExtent l="0" t="0" r="28575" b="12065"/>
                <wp:wrapNone/>
                <wp:docPr id="13" name="Rounded Rectangle 13"/>
                <wp:cNvGraphicFramePr/>
                <a:graphic xmlns:a="http://schemas.openxmlformats.org/drawingml/2006/main">
                  <a:graphicData uri="http://schemas.microsoft.com/office/word/2010/wordprocessingShape">
                    <wps:wsp>
                      <wps:cNvSpPr/>
                      <wps:spPr>
                        <a:xfrm>
                          <a:off x="0" y="0"/>
                          <a:ext cx="1781298" cy="712338"/>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8742CE" w:rsidRDefault="008742CE" w:rsidP="008742CE">
                            <w:pPr>
                              <w:jc w:val="center"/>
                            </w:pPr>
                            <w:r>
                              <w:t>GP agrees to provide service under LIS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3" o:spid="_x0000_s1032" style="position:absolute;margin-left:3.7pt;margin-top:141.75pt;width:140.25pt;height:56.1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" fillcolor="white [3201]" strokecolor="#f79646 [3209]" strokeweight="2pt">
                <v:textbox>
                  <w:txbxContent>
                    <w:p w:rsidR="008742CE" w:rsidRDefault="008742CE" w:rsidP="008742CE">
                      <w:pPr>
                        <w:jc w:val="center"/>
                      </w:pPr>
                      <w:r>
                        <w:t>GP agrees to provide service under LIS</w:t>
                      </w:r>
                    </w:p>
                  </w:txbxContent>
                </v:textbox>
              </v:roundrect>
            </w:pict>
          </mc:Fallback>
        </mc:AlternateContent>
      </w:r>
      <w:r>
        <w:rPr>
          <w:noProof/>
          <w:lang w:eastAsia="en-GB"/>
        </w:rPr>
        <mc:AlternateContent>
          <mc:Choice Requires="wps">
            <w:drawing>
              <wp:anchor distT="0" distB="0" distL="114300" distR="114300" simplePos="0" relativeHeight="251669504" behindDoc="0" locked="0" layoutInCell="1" allowOverlap="1" wp14:anchorId="4168044F" wp14:editId="4E7A14A7">
                <wp:simplePos x="0" y="0"/>
                <wp:positionH relativeFrom="column">
                  <wp:posOffset>4061361</wp:posOffset>
                </wp:positionH>
                <wp:positionV relativeFrom="paragraph">
                  <wp:posOffset>1182551</wp:posOffset>
                </wp:positionV>
                <wp:extent cx="522028" cy="534679"/>
                <wp:effectExtent l="0" t="38100" r="49530" b="17780"/>
                <wp:wrapNone/>
                <wp:docPr id="12" name="Straight Arrow Connector 12"/>
                <wp:cNvGraphicFramePr/>
                <a:graphic xmlns:a="http://schemas.openxmlformats.org/drawingml/2006/main">
                  <a:graphicData uri="http://schemas.microsoft.com/office/word/2010/wordprocessingShape">
                    <wps:wsp>
                      <wps:cNvCnPr/>
                      <wps:spPr>
                        <a:xfrm flipV="1">
                          <a:off x="0" y="0"/>
                          <a:ext cx="522028" cy="53467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 o:spid="_x0000_s1026" type="#_x0000_t32" style="position:absolute;margin-left:319.8pt;margin-top:93.1pt;width:41.1pt;height:42.1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" strokecolor="#4579b8 [3044]">
                <v:stroke endarrow="open"/>
              </v:shape>
            </w:pict>
          </mc:Fallback>
        </mc:AlternateContent>
      </w:r>
      <w:r>
        <w:rPr>
          <w:noProof/>
          <w:lang w:eastAsia="en-GB"/>
        </w:rPr>
        <mc:AlternateContent>
          <mc:Choice Requires="wps">
            <w:drawing>
              <wp:anchor distT="0" distB="0" distL="114300" distR="114300" simplePos="0" relativeHeight="251668480" behindDoc="0" locked="0" layoutInCell="1" allowOverlap="1" wp14:anchorId="3C772F39" wp14:editId="435B6E68">
                <wp:simplePos x="0" y="0"/>
                <wp:positionH relativeFrom="column">
                  <wp:posOffset>2161309</wp:posOffset>
                </wp:positionH>
                <wp:positionV relativeFrom="paragraph">
                  <wp:posOffset>1254315</wp:posOffset>
                </wp:positionV>
                <wp:extent cx="427512" cy="463137"/>
                <wp:effectExtent l="0" t="0" r="67945" b="51435"/>
                <wp:wrapNone/>
                <wp:docPr id="11" name="Straight Arrow Connector 11"/>
                <wp:cNvGraphicFramePr/>
                <a:graphic xmlns:a="http://schemas.openxmlformats.org/drawingml/2006/main">
                  <a:graphicData uri="http://schemas.microsoft.com/office/word/2010/wordprocessingShape">
                    <wps:wsp>
                      <wps:cNvCnPr/>
                      <wps:spPr>
                        <a:xfrm>
                          <a:off x="0" y="0"/>
                          <a:ext cx="427512" cy="463137"/>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1" o:spid="_x0000_s1026" type="#_x0000_t32" style="position:absolute;margin-left:170.2pt;margin-top:98.75pt;width:33.65pt;height:36.4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" strokecolor="#4579b8 [3044]">
                <v:stroke endarrow="open"/>
              </v:shape>
            </w:pict>
          </mc:Fallback>
        </mc:AlternateContent>
      </w:r>
      <w:r w:rsidR="00860CE2">
        <w:rPr>
          <w:noProof/>
          <w:lang w:eastAsia="en-GB"/>
        </w:rPr>
        <mc:AlternateContent>
          <mc:Choice Requires="wps">
            <w:drawing>
              <wp:anchor distT="0" distB="0" distL="114300" distR="114300" simplePos="0" relativeHeight="251667456" behindDoc="0" locked="0" layoutInCell="1" allowOverlap="1" wp14:anchorId="25A75750" wp14:editId="1FCD4F23">
                <wp:simplePos x="0" y="0"/>
                <wp:positionH relativeFrom="column">
                  <wp:posOffset>2470068</wp:posOffset>
                </wp:positionH>
                <wp:positionV relativeFrom="paragraph">
                  <wp:posOffset>1800580</wp:posOffset>
                </wp:positionV>
                <wp:extent cx="1781843" cy="783771"/>
                <wp:effectExtent l="0" t="0" r="27940" b="16510"/>
                <wp:wrapNone/>
                <wp:docPr id="10" name="Rounded Rectangle 10"/>
                <wp:cNvGraphicFramePr/>
                <a:graphic xmlns:a="http://schemas.openxmlformats.org/drawingml/2006/main">
                  <a:graphicData uri="http://schemas.microsoft.com/office/word/2010/wordprocessingShape">
                    <wps:wsp>
                      <wps:cNvSpPr/>
                      <wps:spPr>
                        <a:xfrm>
                          <a:off x="0" y="0"/>
                          <a:ext cx="1781843" cy="783771"/>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860CE2" w:rsidRDefault="00860CE2" w:rsidP="00860CE2">
                            <w:pPr>
                              <w:pStyle w:val="NoSpacing"/>
                            </w:pPr>
                            <w:r>
                              <w:t>GP declines and no alternative community provision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0" o:spid="_x0000_s1033" style="position:absolute;margin-left:194.5pt;margin-top:141.8pt;width:140.3pt;height:61.7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" fillcolor="white [3201]" strokecolor="#f79646 [3209]" strokeweight="2pt">
                <v:textbox>
                  <w:txbxContent>
                    <w:p w:rsidR="00860CE2" w:rsidRDefault="00860CE2" w:rsidP="00860CE2">
                      <w:pPr>
                        <w:pStyle w:val="NoSpacing"/>
                      </w:pPr>
                      <w:r>
                        <w:t>GP declines and no alternative community provision</w:t>
                      </w:r>
                    </w:p>
                  </w:txbxContent>
                </v:textbox>
              </v:roundrect>
            </w:pict>
          </mc:Fallback>
        </mc:AlternateContent>
      </w:r>
      <w:r w:rsidR="00860CE2">
        <w:rPr>
          <w:noProof/>
          <w:lang w:eastAsia="en-GB"/>
        </w:rPr>
        <mc:AlternateContent>
          <mc:Choice Requires="wps">
            <w:drawing>
              <wp:anchor distT="0" distB="0" distL="114300" distR="114300" simplePos="0" relativeHeight="251664384" behindDoc="1" locked="0" layoutInCell="1" allowOverlap="1" wp14:anchorId="2261B899" wp14:editId="19F398FB">
                <wp:simplePos x="0" y="0"/>
                <wp:positionH relativeFrom="column">
                  <wp:posOffset>166255</wp:posOffset>
                </wp:positionH>
                <wp:positionV relativeFrom="paragraph">
                  <wp:posOffset>221161</wp:posOffset>
                </wp:positionV>
                <wp:extent cx="2303813" cy="961902"/>
                <wp:effectExtent l="0" t="0" r="20320" b="10160"/>
                <wp:wrapTight wrapText="bothSides">
                  <wp:wrapPolygon edited="0">
                    <wp:start x="536" y="0"/>
                    <wp:lineTo x="0" y="1284"/>
                    <wp:lineTo x="0" y="19688"/>
                    <wp:lineTo x="357" y="21400"/>
                    <wp:lineTo x="536" y="21400"/>
                    <wp:lineTo x="21076" y="21400"/>
                    <wp:lineTo x="21255" y="21400"/>
                    <wp:lineTo x="21612" y="19688"/>
                    <wp:lineTo x="21612" y="1284"/>
                    <wp:lineTo x="21076" y="0"/>
                    <wp:lineTo x="536" y="0"/>
                  </wp:wrapPolygon>
                </wp:wrapTight>
                <wp:docPr id="6" name="Rounded Rectangle 6"/>
                <wp:cNvGraphicFramePr/>
                <a:graphic xmlns:a="http://schemas.openxmlformats.org/drawingml/2006/main">
                  <a:graphicData uri="http://schemas.microsoft.com/office/word/2010/wordprocessingShape">
                    <wps:wsp>
                      <wps:cNvSpPr/>
                      <wps:spPr>
                        <a:xfrm>
                          <a:off x="0" y="0"/>
                          <a:ext cx="2303813" cy="961902"/>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860CE2" w:rsidRDefault="00860CE2" w:rsidP="00860CE2">
                            <w:pPr>
                              <w:pStyle w:val="NoSpacing"/>
                            </w:pPr>
                            <w:proofErr w:type="spellStart"/>
                            <w:proofErr w:type="gramStart"/>
                            <w:r>
                              <w:t>EGFr</w:t>
                            </w:r>
                            <w:proofErr w:type="spellEnd"/>
                            <w:r>
                              <w:t>&gt; 30 and suitable to continue treatment.</w:t>
                            </w:r>
                            <w:proofErr w:type="gramEnd"/>
                          </w:p>
                          <w:p w:rsidR="00860CE2" w:rsidRDefault="00860CE2" w:rsidP="00860CE2">
                            <w:pPr>
                              <w:pStyle w:val="NoSpacing"/>
                            </w:pPr>
                            <w:r>
                              <w:t xml:space="preserve">Consultant requests GP to provide service using </w:t>
                            </w:r>
                            <w:proofErr w:type="spellStart"/>
                            <w:r>
                              <w:t>Ricad</w:t>
                            </w:r>
                            <w:proofErr w:type="spellEnd"/>
                            <w:r>
                              <w:t xml:space="preserve"> or similar.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6" o:spid="_x0000_s1034" style="position:absolute;margin-left:13.1pt;margin-top:17.4pt;width:181.4pt;height:75.75pt;z-index:-25165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" fillcolor="white [3201]" strokecolor="#f79646 [3209]" strokeweight="2pt">
                <v:textbox>
                  <w:txbxContent>
                    <w:p w:rsidR="00860CE2" w:rsidRDefault="00860CE2" w:rsidP="00860CE2">
                      <w:pPr>
                        <w:pStyle w:val="NoSpacing"/>
                      </w:pPr>
                      <w:r>
                        <w:t>EGFr&gt; 30 and suitable to continue treatment.</w:t>
                      </w:r>
                    </w:p>
                    <w:p w:rsidR="00860CE2" w:rsidRDefault="00860CE2" w:rsidP="00860CE2">
                      <w:pPr>
                        <w:pStyle w:val="NoSpacing"/>
                      </w:pPr>
                      <w:r>
                        <w:t>Consultant requests GP to provide service using Ricad or similar.</w:t>
                      </w:r>
                    </w:p>
                  </w:txbxContent>
                </v:textbox>
                <w10:wrap type="tight"/>
              </v:roundrect>
            </w:pict>
          </mc:Fallback>
        </mc:AlternateContent>
      </w:r>
      <w:r w:rsidR="00860CE2">
        <w:rPr>
          <w:noProof/>
          <w:lang w:eastAsia="en-GB"/>
        </w:rPr>
        <mc:AlternateContent>
          <mc:Choice Requires="wps">
            <w:drawing>
              <wp:anchor distT="0" distB="0" distL="114300" distR="114300" simplePos="0" relativeHeight="251663360" behindDoc="0" locked="0" layoutInCell="1" allowOverlap="1" wp14:anchorId="31408F08" wp14:editId="14BBE214">
                <wp:simplePos x="0" y="0"/>
                <wp:positionH relativeFrom="column">
                  <wp:posOffset>4257040</wp:posOffset>
                </wp:positionH>
                <wp:positionV relativeFrom="paragraph">
                  <wp:posOffset>221161</wp:posOffset>
                </wp:positionV>
                <wp:extent cx="1977505" cy="890650"/>
                <wp:effectExtent l="0" t="0" r="22860" b="24130"/>
                <wp:wrapNone/>
                <wp:docPr id="5" name="Rounded Rectangle 5"/>
                <wp:cNvGraphicFramePr/>
                <a:graphic xmlns:a="http://schemas.openxmlformats.org/drawingml/2006/main">
                  <a:graphicData uri="http://schemas.microsoft.com/office/word/2010/wordprocessingShape">
                    <wps:wsp>
                      <wps:cNvSpPr/>
                      <wps:spPr>
                        <a:xfrm>
                          <a:off x="0" y="0"/>
                          <a:ext cx="1977505" cy="8906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860CE2" w:rsidRDefault="00860CE2" w:rsidP="00860CE2">
                            <w:pPr>
                              <w:jc w:val="center"/>
                            </w:pPr>
                            <w:r>
                              <w:t xml:space="preserve">Patients with </w:t>
                            </w:r>
                            <w:proofErr w:type="spellStart"/>
                            <w:r>
                              <w:t>EGFr</w:t>
                            </w:r>
                            <w:proofErr w:type="spellEnd"/>
                            <w:r>
                              <w:t xml:space="preserve"> &lt; </w:t>
                            </w:r>
                            <w:proofErr w:type="gramStart"/>
                            <w:r>
                              <w:t>30  stay</w:t>
                            </w:r>
                            <w:proofErr w:type="gramEnd"/>
                            <w:r>
                              <w:t xml:space="preserve"> in specialist care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5" o:spid="_x0000_s1035" style="position:absolute;margin-left:335.2pt;margin-top:17.4pt;width:155.7pt;height:70.1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" fillcolor="white [3201]" strokecolor="#f79646 [3209]" strokeweight="2pt">
                <v:textbox>
                  <w:txbxContent>
                    <w:p w:rsidR="00860CE2" w:rsidRDefault="00860CE2" w:rsidP="00860CE2">
                      <w:pPr>
                        <w:jc w:val="center"/>
                      </w:pPr>
                      <w:r>
                        <w:t>Patients with EGFr &lt; 30  stay in specialist care</w:t>
                      </w:r>
                    </w:p>
                  </w:txbxContent>
                </v:textbox>
              </v:roundrect>
            </w:pict>
          </mc:Fallback>
        </mc:AlternateContent>
      </w:r>
      <w:r w:rsidR="00860CE2">
        <w:t xml:space="preserve">         </w:t>
      </w:r>
    </w:p>
    <w:p w:rsidR="00A24096" w:rsidRDefault="00A24096">
      <w:r>
        <w:br w:type="page"/>
      </w:r>
    </w:p>
    <w:p w:rsidR="00336876" w:rsidRDefault="00336876" w:rsidP="00A24096">
      <w:pPr>
        <w:tabs>
          <w:tab w:val="left" w:pos="6919"/>
        </w:tabs>
        <w:spacing w:after="0"/>
        <w:sectPr w:rsidR="00336876" w:rsidSect="00336876">
          <w:headerReference w:type="default" r:id="rId18"/>
          <w:footerReference w:type="default" r:id="rId19"/>
          <w:pgSz w:w="11906" w:h="16838"/>
          <w:pgMar w:top="1702" w:right="849" w:bottom="1440" w:left="1440" w:header="283" w:footer="0" w:gutter="0"/>
          <w:cols w:space="708"/>
          <w:docGrid w:linePitch="360"/>
        </w:sectPr>
      </w:pPr>
    </w:p>
    <w:p w:rsidR="001C0EF6" w:rsidRDefault="001C0EF6" w:rsidP="00A24096">
      <w:pPr>
        <w:tabs>
          <w:tab w:val="left" w:pos="6919"/>
        </w:tabs>
        <w:spacing w:after="0"/>
      </w:pPr>
    </w:p>
    <w:p w:rsidR="00336876" w:rsidRPr="00AA2FD5" w:rsidRDefault="00336876" w:rsidP="00336876">
      <w:pPr>
        <w:tabs>
          <w:tab w:val="left" w:pos="6919"/>
        </w:tabs>
        <w:spacing w:after="0"/>
        <w:jc w:val="center"/>
        <w:rPr>
          <w:b/>
          <w:sz w:val="24"/>
        </w:rPr>
      </w:pPr>
      <w:r w:rsidRPr="00AA2FD5">
        <w:rPr>
          <w:b/>
          <w:sz w:val="24"/>
        </w:rPr>
        <w:t>Denosumab for management of fracture risk in patients with post-menopausal osteoporosis: Local Improvement Scheme 2015/16</w:t>
      </w:r>
      <w:r>
        <w:rPr>
          <w:b/>
          <w:sz w:val="24"/>
        </w:rPr>
        <w:t xml:space="preserve"> </w:t>
      </w:r>
      <w:r w:rsidRPr="00AA2FD5">
        <w:rPr>
          <w:b/>
          <w:sz w:val="24"/>
        </w:rPr>
        <w:t>Signature Sheet</w:t>
      </w:r>
    </w:p>
    <w:p w:rsidR="00336876" w:rsidRDefault="00336876" w:rsidP="00A24096">
      <w:pPr>
        <w:tabs>
          <w:tab w:val="left" w:pos="6919"/>
        </w:tabs>
        <w:spacing w:after="0"/>
      </w:pPr>
    </w:p>
    <w:p w:rsidR="00A24096" w:rsidRDefault="00A24096" w:rsidP="00A24096">
      <w:pPr>
        <w:tabs>
          <w:tab w:val="left" w:pos="6919"/>
        </w:tabs>
        <w:spacing w:after="0"/>
      </w:pPr>
      <w:r w:rsidRPr="00A24096">
        <w:t>This document constitutes the agreement between the practice and the CCG in regards to the delivery of the agreed improvement scheme specifications.</w:t>
      </w:r>
    </w:p>
    <w:p w:rsidR="00C86BEA" w:rsidRPr="00C86BEA" w:rsidRDefault="00C86BEA" w:rsidP="00A24096">
      <w:pPr>
        <w:tabs>
          <w:tab w:val="left" w:pos="6919"/>
        </w:tabs>
        <w:spacing w:after="0"/>
        <w:rPr>
          <w:sz w:val="1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5"/>
        <w:gridCol w:w="495"/>
        <w:gridCol w:w="5445"/>
        <w:gridCol w:w="1125"/>
        <w:gridCol w:w="558"/>
      </w:tblGrid>
      <w:tr w:rsidR="00A24096" w:rsidRPr="00A24096" w:rsidTr="0096152F">
        <w:tc>
          <w:tcPr>
            <w:tcW w:w="9288" w:type="dxa"/>
            <w:gridSpan w:val="5"/>
          </w:tcPr>
          <w:p w:rsidR="00A24096" w:rsidRPr="00A24096" w:rsidRDefault="00A24096" w:rsidP="00A24096">
            <w:pPr>
              <w:tabs>
                <w:tab w:val="left" w:pos="6919"/>
              </w:tabs>
              <w:spacing w:after="0"/>
              <w:jc w:val="center"/>
              <w:rPr>
                <w:b/>
              </w:rPr>
            </w:pPr>
            <w:r>
              <w:rPr>
                <w:b/>
              </w:rPr>
              <w:t>Participation in Scheme?</w:t>
            </w:r>
          </w:p>
        </w:tc>
      </w:tr>
      <w:tr w:rsidR="00A24096" w:rsidRPr="00A24096" w:rsidTr="007411CE">
        <w:tc>
          <w:tcPr>
            <w:tcW w:w="1665" w:type="dxa"/>
            <w:vAlign w:val="center"/>
          </w:tcPr>
          <w:p w:rsidR="00A24096" w:rsidRPr="00A24096" w:rsidRDefault="00A24096" w:rsidP="00441EF2">
            <w:pPr>
              <w:tabs>
                <w:tab w:val="left" w:pos="6919"/>
              </w:tabs>
              <w:spacing w:after="0"/>
              <w:jc w:val="center"/>
            </w:pPr>
            <w:r>
              <w:t>YES</w:t>
            </w:r>
          </w:p>
        </w:tc>
        <w:tc>
          <w:tcPr>
            <w:tcW w:w="495" w:type="dxa"/>
            <w:vAlign w:val="center"/>
          </w:tcPr>
          <w:p w:rsidR="00A24096" w:rsidRPr="00A24096" w:rsidRDefault="00D87E01" w:rsidP="00441EF2">
            <w:pPr>
              <w:tabs>
                <w:tab w:val="left" w:pos="6919"/>
              </w:tabs>
              <w:spacing w:after="0"/>
              <w:jc w:val="center"/>
            </w:pPr>
            <w: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75pt;height:12.75pt" o:ole="">
                  <v:imagedata r:id="rId20" o:title=""/>
                </v:shape>
                <w:control r:id="rId21" w:name="CheckBox11" w:shapeid="_x0000_i1029"/>
              </w:object>
            </w:r>
          </w:p>
        </w:tc>
        <w:tc>
          <w:tcPr>
            <w:tcW w:w="5445" w:type="dxa"/>
            <w:shd w:val="clear" w:color="auto" w:fill="F2F2F2" w:themeFill="background1" w:themeFillShade="F2"/>
            <w:vAlign w:val="center"/>
          </w:tcPr>
          <w:p w:rsidR="00A24096" w:rsidRPr="00A24096" w:rsidRDefault="00A24096" w:rsidP="00441EF2">
            <w:pPr>
              <w:tabs>
                <w:tab w:val="left" w:pos="6919"/>
              </w:tabs>
              <w:spacing w:after="0"/>
              <w:jc w:val="center"/>
            </w:pPr>
          </w:p>
        </w:tc>
        <w:tc>
          <w:tcPr>
            <w:tcW w:w="1125" w:type="dxa"/>
            <w:vAlign w:val="center"/>
          </w:tcPr>
          <w:p w:rsidR="00A24096" w:rsidRPr="00A24096" w:rsidRDefault="00A24096" w:rsidP="00441EF2">
            <w:pPr>
              <w:tabs>
                <w:tab w:val="left" w:pos="6919"/>
              </w:tabs>
              <w:spacing w:after="0"/>
              <w:jc w:val="center"/>
            </w:pPr>
            <w:r>
              <w:t>NO</w:t>
            </w:r>
          </w:p>
        </w:tc>
        <w:tc>
          <w:tcPr>
            <w:tcW w:w="558" w:type="dxa"/>
            <w:vAlign w:val="center"/>
          </w:tcPr>
          <w:p w:rsidR="00A24096" w:rsidRPr="00A24096" w:rsidRDefault="0080213F" w:rsidP="00441EF2">
            <w:pPr>
              <w:tabs>
                <w:tab w:val="left" w:pos="6919"/>
              </w:tabs>
              <w:spacing w:after="0"/>
              <w:jc w:val="center"/>
            </w:pPr>
            <w:r>
              <w:object w:dxaOrig="225" w:dyaOrig="225">
                <v:shape id="_x0000_i1031" type="#_x0000_t75" style="width:12.75pt;height:12.75pt" o:ole="">
                  <v:imagedata r:id="rId20" o:title=""/>
                </v:shape>
                <w:control r:id="rId22" w:name="CheckBox1" w:shapeid="_x0000_i1031"/>
              </w:object>
            </w:r>
          </w:p>
        </w:tc>
      </w:tr>
    </w:tbl>
    <w:p w:rsidR="00A24096" w:rsidRPr="00A24096" w:rsidRDefault="00A24096" w:rsidP="00A24096">
      <w:pPr>
        <w:tabs>
          <w:tab w:val="left" w:pos="6919"/>
        </w:tabs>
        <w:spacing w:after="0"/>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8"/>
      </w:tblGrid>
      <w:tr w:rsidR="00A24096" w:rsidRPr="00A24096" w:rsidTr="0096152F">
        <w:tc>
          <w:tcPr>
            <w:tcW w:w="9288" w:type="dxa"/>
          </w:tcPr>
          <w:p w:rsidR="00A24096" w:rsidRPr="00A24096" w:rsidRDefault="00441EF2" w:rsidP="00441EF2">
            <w:pPr>
              <w:tabs>
                <w:tab w:val="left" w:pos="6919"/>
              </w:tabs>
              <w:spacing w:after="0"/>
              <w:rPr>
                <w:b/>
              </w:rPr>
            </w:pPr>
            <w:r>
              <w:rPr>
                <w:b/>
              </w:rPr>
              <w:t>Practice ID / M Code</w:t>
            </w:r>
          </w:p>
        </w:tc>
      </w:tr>
      <w:tr w:rsidR="00A24096" w:rsidRPr="00A24096" w:rsidTr="0096152F">
        <w:tc>
          <w:tcPr>
            <w:tcW w:w="9288" w:type="dxa"/>
          </w:tcPr>
          <w:p w:rsidR="00A24096" w:rsidRPr="00A24096" w:rsidRDefault="00A24096" w:rsidP="00A24096">
            <w:pPr>
              <w:tabs>
                <w:tab w:val="left" w:pos="6919"/>
              </w:tabs>
              <w:spacing w:after="0"/>
            </w:pPr>
          </w:p>
        </w:tc>
      </w:tr>
      <w:tr w:rsidR="00A24096" w:rsidRPr="00A24096" w:rsidTr="0096152F">
        <w:tc>
          <w:tcPr>
            <w:tcW w:w="9288" w:type="dxa"/>
          </w:tcPr>
          <w:p w:rsidR="00A24096" w:rsidRPr="00A24096" w:rsidRDefault="00A24096" w:rsidP="00A24096">
            <w:pPr>
              <w:tabs>
                <w:tab w:val="left" w:pos="6919"/>
              </w:tabs>
              <w:spacing w:after="0"/>
            </w:pPr>
            <w:r w:rsidRPr="00A24096">
              <w:t>Name (please print in BLOCK CAPITALS)</w:t>
            </w:r>
          </w:p>
        </w:tc>
      </w:tr>
      <w:tr w:rsidR="00A24096" w:rsidRPr="00A24096" w:rsidTr="00A24096">
        <w:trPr>
          <w:trHeight w:val="448"/>
        </w:trPr>
        <w:tc>
          <w:tcPr>
            <w:tcW w:w="9288" w:type="dxa"/>
          </w:tcPr>
          <w:p w:rsidR="00A24096" w:rsidRPr="00A24096" w:rsidRDefault="00A24096" w:rsidP="00A24096">
            <w:pPr>
              <w:tabs>
                <w:tab w:val="left" w:pos="6919"/>
              </w:tabs>
              <w:spacing w:after="0"/>
            </w:pPr>
          </w:p>
        </w:tc>
      </w:tr>
      <w:tr w:rsidR="00A24096" w:rsidRPr="00A24096" w:rsidTr="0096152F">
        <w:tc>
          <w:tcPr>
            <w:tcW w:w="9288" w:type="dxa"/>
          </w:tcPr>
          <w:p w:rsidR="00A24096" w:rsidRPr="00A24096" w:rsidRDefault="00A24096" w:rsidP="00A24096">
            <w:pPr>
              <w:tabs>
                <w:tab w:val="left" w:pos="6919"/>
              </w:tabs>
              <w:spacing w:after="0"/>
            </w:pPr>
            <w:r w:rsidRPr="00A24096">
              <w:t xml:space="preserve">Name/address of practice (please print in BLOCK CAPITALS)          </w:t>
            </w:r>
          </w:p>
        </w:tc>
      </w:tr>
      <w:tr w:rsidR="00A24096" w:rsidRPr="00A24096" w:rsidTr="0096152F">
        <w:trPr>
          <w:trHeight w:val="1310"/>
        </w:trPr>
        <w:tc>
          <w:tcPr>
            <w:tcW w:w="9288" w:type="dxa"/>
          </w:tcPr>
          <w:p w:rsidR="00A24096" w:rsidRPr="00A24096" w:rsidRDefault="00A24096" w:rsidP="00A24096">
            <w:pPr>
              <w:tabs>
                <w:tab w:val="left" w:pos="6919"/>
              </w:tabs>
              <w:spacing w:after="0"/>
            </w:pPr>
          </w:p>
        </w:tc>
      </w:tr>
      <w:tr w:rsidR="00A24096" w:rsidRPr="00A24096" w:rsidTr="0096152F">
        <w:tc>
          <w:tcPr>
            <w:tcW w:w="9288" w:type="dxa"/>
          </w:tcPr>
          <w:p w:rsidR="00A24096" w:rsidRPr="00A24096" w:rsidRDefault="00A24096" w:rsidP="00A24096">
            <w:pPr>
              <w:tabs>
                <w:tab w:val="left" w:pos="6919"/>
              </w:tabs>
              <w:spacing w:after="0"/>
            </w:pPr>
            <w:r w:rsidRPr="00A24096">
              <w:t>Date</w:t>
            </w:r>
          </w:p>
        </w:tc>
      </w:tr>
      <w:tr w:rsidR="00A24096" w:rsidRPr="00A24096" w:rsidTr="00A24096">
        <w:trPr>
          <w:trHeight w:val="440"/>
        </w:trPr>
        <w:tc>
          <w:tcPr>
            <w:tcW w:w="9288" w:type="dxa"/>
          </w:tcPr>
          <w:p w:rsidR="00A24096" w:rsidRPr="00A24096" w:rsidRDefault="00A24096" w:rsidP="00A24096">
            <w:pPr>
              <w:tabs>
                <w:tab w:val="left" w:pos="6919"/>
              </w:tabs>
              <w:spacing w:after="0"/>
            </w:pPr>
          </w:p>
        </w:tc>
      </w:tr>
    </w:tbl>
    <w:p w:rsidR="00A24096" w:rsidRPr="00A24096" w:rsidRDefault="00A24096" w:rsidP="00A24096">
      <w:pPr>
        <w:tabs>
          <w:tab w:val="left" w:pos="6919"/>
        </w:tabs>
        <w:spacing w:after="0"/>
      </w:pPr>
    </w:p>
    <w:p w:rsidR="00A24096" w:rsidRPr="00A24096" w:rsidRDefault="00A24096" w:rsidP="00A24096">
      <w:pPr>
        <w:tabs>
          <w:tab w:val="left" w:pos="6919"/>
        </w:tabs>
        <w:spacing w:after="0"/>
        <w:rPr>
          <w:b/>
        </w:rPr>
      </w:pPr>
      <w:r w:rsidRPr="00A24096">
        <w:rPr>
          <w:b/>
        </w:rPr>
        <w:t>Signature on behalf of the CCG:</w:t>
      </w:r>
    </w:p>
    <w:p w:rsidR="00A24096" w:rsidRPr="00A24096" w:rsidRDefault="00A24096" w:rsidP="00A24096">
      <w:pPr>
        <w:tabs>
          <w:tab w:val="left" w:pos="6919"/>
        </w:tabs>
        <w:spacing w:after="0"/>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8"/>
      </w:tblGrid>
      <w:tr w:rsidR="00A24096" w:rsidRPr="00A24096" w:rsidTr="0096152F">
        <w:tc>
          <w:tcPr>
            <w:tcW w:w="9288" w:type="dxa"/>
          </w:tcPr>
          <w:p w:rsidR="00A24096" w:rsidRPr="00A24096" w:rsidRDefault="00A24096" w:rsidP="00A24096">
            <w:pPr>
              <w:tabs>
                <w:tab w:val="left" w:pos="6919"/>
              </w:tabs>
              <w:spacing w:after="0"/>
            </w:pPr>
            <w:r w:rsidRPr="00A24096">
              <w:t>Name and position</w:t>
            </w:r>
          </w:p>
        </w:tc>
      </w:tr>
      <w:tr w:rsidR="00A24096" w:rsidRPr="00A24096" w:rsidTr="0096152F">
        <w:trPr>
          <w:trHeight w:val="851"/>
        </w:trPr>
        <w:tc>
          <w:tcPr>
            <w:tcW w:w="9288" w:type="dxa"/>
          </w:tcPr>
          <w:p w:rsidR="00A24096" w:rsidRPr="00A24096" w:rsidRDefault="00A24096" w:rsidP="00A24096">
            <w:pPr>
              <w:tabs>
                <w:tab w:val="left" w:pos="6919"/>
              </w:tabs>
              <w:spacing w:after="0"/>
            </w:pPr>
          </w:p>
        </w:tc>
      </w:tr>
      <w:tr w:rsidR="00A24096" w:rsidRPr="00A24096" w:rsidTr="0096152F">
        <w:tc>
          <w:tcPr>
            <w:tcW w:w="9288" w:type="dxa"/>
          </w:tcPr>
          <w:p w:rsidR="00A24096" w:rsidRPr="00A24096" w:rsidRDefault="00A24096" w:rsidP="00A24096">
            <w:pPr>
              <w:tabs>
                <w:tab w:val="left" w:pos="6919"/>
              </w:tabs>
              <w:spacing w:after="0"/>
            </w:pPr>
            <w:r w:rsidRPr="00A24096">
              <w:t>Date</w:t>
            </w:r>
          </w:p>
        </w:tc>
      </w:tr>
      <w:tr w:rsidR="00A24096" w:rsidRPr="00A24096" w:rsidTr="0096152F">
        <w:trPr>
          <w:trHeight w:val="851"/>
        </w:trPr>
        <w:tc>
          <w:tcPr>
            <w:tcW w:w="9288" w:type="dxa"/>
          </w:tcPr>
          <w:p w:rsidR="00A24096" w:rsidRPr="00A24096" w:rsidRDefault="00A24096" w:rsidP="00A24096">
            <w:pPr>
              <w:tabs>
                <w:tab w:val="left" w:pos="6919"/>
              </w:tabs>
              <w:spacing w:after="0"/>
            </w:pPr>
          </w:p>
        </w:tc>
      </w:tr>
    </w:tbl>
    <w:p w:rsidR="00A24096" w:rsidRPr="00A24096" w:rsidRDefault="00A24096" w:rsidP="00A24096">
      <w:pPr>
        <w:tabs>
          <w:tab w:val="left" w:pos="6919"/>
        </w:tabs>
        <w:spacing w:after="0"/>
        <w:rPr>
          <w:u w:val="single"/>
        </w:rPr>
      </w:pPr>
    </w:p>
    <w:p w:rsidR="00336876" w:rsidRDefault="00336876" w:rsidP="00336876">
      <w:pPr>
        <w:tabs>
          <w:tab w:val="left" w:pos="6919"/>
        </w:tabs>
        <w:spacing w:after="0"/>
      </w:pPr>
      <w:r w:rsidRPr="00A24096">
        <w:t xml:space="preserve">Please return </w:t>
      </w:r>
      <w:r>
        <w:t xml:space="preserve">completed form </w:t>
      </w:r>
      <w:r w:rsidRPr="00A24096">
        <w:t>to:</w:t>
      </w:r>
      <w:r>
        <w:t xml:space="preserve"> </w:t>
      </w:r>
      <w:hyperlink r:id="rId23" w:history="1">
        <w:r w:rsidRPr="00391857">
          <w:rPr>
            <w:rStyle w:val="Hyperlink"/>
          </w:rPr>
          <w:t>communications.sessp@northstaffs.nhs.uk</w:t>
        </w:r>
      </w:hyperlink>
    </w:p>
    <w:p w:rsidR="00860CE2" w:rsidRPr="00860CE2" w:rsidRDefault="00860CE2" w:rsidP="00336876">
      <w:pPr>
        <w:tabs>
          <w:tab w:val="left" w:pos="6919"/>
        </w:tabs>
        <w:spacing w:after="0"/>
      </w:pPr>
    </w:p>
    <w:sectPr w:rsidR="00860CE2" w:rsidRPr="00860CE2" w:rsidSect="00336876">
      <w:headerReference w:type="default" r:id="rId24"/>
      <w:footerReference w:type="default" r:id="rId25"/>
      <w:pgSz w:w="11906" w:h="16838"/>
      <w:pgMar w:top="1702" w:right="849" w:bottom="1440" w:left="1440" w:header="283"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5DE" w:rsidRDefault="006C65DE" w:rsidP="00715D93">
      <w:pPr>
        <w:spacing w:after="0" w:line="240" w:lineRule="auto"/>
      </w:pPr>
      <w:r>
        <w:separator/>
      </w:r>
    </w:p>
  </w:endnote>
  <w:endnote w:type="continuationSeparator" w:id="0">
    <w:p w:rsidR="006C65DE" w:rsidRDefault="006C65DE" w:rsidP="00715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5050387"/>
      <w:docPartObj>
        <w:docPartGallery w:val="Page Numbers (Bottom of Page)"/>
        <w:docPartUnique/>
      </w:docPartObj>
    </w:sdtPr>
    <w:sdtEndPr>
      <w:rPr>
        <w:noProof/>
      </w:rPr>
    </w:sdtEndPr>
    <w:sdtContent>
      <w:p w:rsidR="00443D58" w:rsidRDefault="00443D58">
        <w:pPr>
          <w:pStyle w:val="Footer"/>
          <w:jc w:val="right"/>
        </w:pPr>
        <w:r>
          <w:fldChar w:fldCharType="begin"/>
        </w:r>
        <w:r>
          <w:instrText xml:space="preserve"> PAGE   \* MERGEFORMAT </w:instrText>
        </w:r>
        <w:r>
          <w:fldChar w:fldCharType="separate"/>
        </w:r>
        <w:r w:rsidR="00C86BEA">
          <w:rPr>
            <w:noProof/>
          </w:rPr>
          <w:t>1</w:t>
        </w:r>
        <w:r>
          <w:rPr>
            <w:noProof/>
          </w:rPr>
          <w:fldChar w:fldCharType="end"/>
        </w:r>
      </w:p>
    </w:sdtContent>
  </w:sdt>
  <w:p w:rsidR="00443D58" w:rsidRDefault="00443D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4019436"/>
      <w:docPartObj>
        <w:docPartGallery w:val="Page Numbers (Bottom of Page)"/>
        <w:docPartUnique/>
      </w:docPartObj>
    </w:sdtPr>
    <w:sdtEndPr>
      <w:rPr>
        <w:noProof/>
      </w:rPr>
    </w:sdtEndPr>
    <w:sdtContent>
      <w:p w:rsidR="00336876" w:rsidRDefault="00336876" w:rsidP="00336876">
        <w:pPr>
          <w:pStyle w:val="Footer"/>
          <w:jc w:val="right"/>
        </w:pPr>
        <w:r>
          <w:tab/>
        </w:r>
        <w:r>
          <w:tab/>
        </w:r>
        <w:r>
          <w:fldChar w:fldCharType="begin"/>
        </w:r>
        <w:r w:rsidRPr="00336876">
          <w:instrText xml:space="preserve"> PAGE   \* MERGEFORMAT </w:instrText>
        </w:r>
        <w:r>
          <w:fldChar w:fldCharType="separate"/>
        </w:r>
        <w:r w:rsidR="000F416F">
          <w:rPr>
            <w:noProof/>
          </w:rPr>
          <w:t>2</w:t>
        </w:r>
        <w:r>
          <w:rPr>
            <w:noProof/>
          </w:rPr>
          <w:fldChar w:fldCharType="end"/>
        </w:r>
      </w:p>
    </w:sdtContent>
  </w:sdt>
  <w:p w:rsidR="00336876" w:rsidRDefault="003368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020848"/>
      <w:docPartObj>
        <w:docPartGallery w:val="Page Numbers (Bottom of Page)"/>
        <w:docPartUnique/>
      </w:docPartObj>
    </w:sdtPr>
    <w:sdtEndPr>
      <w:rPr>
        <w:noProof/>
      </w:rPr>
    </w:sdtEndPr>
    <w:sdtContent>
      <w:p w:rsidR="00336876" w:rsidRDefault="00336876" w:rsidP="00336876">
        <w:pPr>
          <w:pStyle w:val="Footer"/>
          <w:jc w:val="right"/>
        </w:pPr>
        <w:r>
          <w:rPr>
            <w:noProof/>
            <w:lang w:eastAsia="en-GB"/>
          </w:rPr>
          <w:drawing>
            <wp:anchor distT="0" distB="0" distL="114300" distR="114300" simplePos="0" relativeHeight="251663360" behindDoc="1" locked="0" layoutInCell="1" allowOverlap="1" wp14:anchorId="23864FF2" wp14:editId="72B5AB96">
              <wp:simplePos x="0" y="0"/>
              <wp:positionH relativeFrom="column">
                <wp:posOffset>-917014</wp:posOffset>
              </wp:positionH>
              <wp:positionV relativeFrom="paragraph">
                <wp:posOffset>-1435999</wp:posOffset>
              </wp:positionV>
              <wp:extent cx="7571740" cy="1752600"/>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1740" cy="1752600"/>
                      </a:xfrm>
                      <a:prstGeom prst="rect">
                        <a:avLst/>
                      </a:prstGeom>
                      <a:noFill/>
                    </pic:spPr>
                  </pic:pic>
                </a:graphicData>
              </a:graphic>
              <wp14:sizeRelH relativeFrom="page">
                <wp14:pctWidth>0</wp14:pctWidth>
              </wp14:sizeRelH>
              <wp14:sizeRelV relativeFrom="page">
                <wp14:pctHeight>0</wp14:pctHeight>
              </wp14:sizeRelV>
            </wp:anchor>
          </w:drawing>
        </w:r>
        <w:r>
          <w:tab/>
        </w:r>
        <w:r>
          <w:tab/>
        </w:r>
        <w:r>
          <w:fldChar w:fldCharType="begin"/>
        </w:r>
        <w:r w:rsidRPr="00336876">
          <w:instrText xml:space="preserve"> PAGE   \* MERGEFORMAT </w:instrText>
        </w:r>
        <w:r>
          <w:fldChar w:fldCharType="separate"/>
        </w:r>
        <w:r w:rsidR="000F416F">
          <w:rPr>
            <w:noProof/>
          </w:rPr>
          <w:t>3</w:t>
        </w:r>
        <w:r>
          <w:rPr>
            <w:noProof/>
          </w:rPr>
          <w:fldChar w:fldCharType="end"/>
        </w:r>
      </w:p>
    </w:sdtContent>
  </w:sdt>
  <w:p w:rsidR="00336876" w:rsidRDefault="0033687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118531"/>
      <w:docPartObj>
        <w:docPartGallery w:val="Page Numbers (Bottom of Page)"/>
        <w:docPartUnique/>
      </w:docPartObj>
    </w:sdtPr>
    <w:sdtEndPr>
      <w:rPr>
        <w:noProof/>
      </w:rPr>
    </w:sdtEndPr>
    <w:sdtContent>
      <w:p w:rsidR="00336876" w:rsidRDefault="00336876">
        <w:pPr>
          <w:pStyle w:val="Footer"/>
          <w:jc w:val="right"/>
        </w:pPr>
        <w:r>
          <w:fldChar w:fldCharType="begin"/>
        </w:r>
        <w:r w:rsidRPr="00336876">
          <w:instrText xml:space="preserve"> PAGE   \* MERGEFORMAT </w:instrText>
        </w:r>
        <w:r>
          <w:fldChar w:fldCharType="separate"/>
        </w:r>
        <w:r w:rsidR="000F416F">
          <w:rPr>
            <w:noProof/>
          </w:rPr>
          <w:t>4</w:t>
        </w:r>
        <w:r>
          <w:rPr>
            <w:noProof/>
          </w:rPr>
          <w:fldChar w:fldCharType="end"/>
        </w:r>
      </w:p>
    </w:sdtContent>
  </w:sdt>
  <w:p w:rsidR="00336876" w:rsidRDefault="00336876">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0048944"/>
      <w:docPartObj>
        <w:docPartGallery w:val="Page Numbers (Bottom of Page)"/>
        <w:docPartUnique/>
      </w:docPartObj>
    </w:sdtPr>
    <w:sdtEndPr>
      <w:rPr>
        <w:noProof/>
      </w:rPr>
    </w:sdtEndPr>
    <w:sdtContent>
      <w:p w:rsidR="00336876" w:rsidRDefault="00336876" w:rsidP="00336876">
        <w:pPr>
          <w:pStyle w:val="Footer"/>
          <w:jc w:val="right"/>
        </w:pPr>
        <w:r>
          <w:rPr>
            <w:noProof/>
            <w:lang w:eastAsia="en-GB"/>
          </w:rPr>
          <w:drawing>
            <wp:anchor distT="0" distB="0" distL="114300" distR="114300" simplePos="0" relativeHeight="251659264" behindDoc="1" locked="0" layoutInCell="1" allowOverlap="1" wp14:anchorId="5E5B3E04" wp14:editId="6D66FDB6">
              <wp:simplePos x="0" y="0"/>
              <wp:positionH relativeFrom="column">
                <wp:posOffset>-915035</wp:posOffset>
              </wp:positionH>
              <wp:positionV relativeFrom="paragraph">
                <wp:posOffset>-1275525</wp:posOffset>
              </wp:positionV>
              <wp:extent cx="7571740" cy="17526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1740" cy="1752600"/>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rsidRPr="00336876">
          <w:instrText xml:space="preserve"> PAGE   \* MERGEFORMAT </w:instrText>
        </w:r>
        <w:r>
          <w:fldChar w:fldCharType="separate"/>
        </w:r>
        <w:r w:rsidR="000F416F">
          <w:rPr>
            <w:noProof/>
          </w:rPr>
          <w:t>5</w:t>
        </w:r>
        <w:r>
          <w:rPr>
            <w:noProof/>
          </w:rPr>
          <w:fldChar w:fldCharType="end"/>
        </w:r>
      </w:p>
      <w:p w:rsidR="00336876" w:rsidRDefault="00336876" w:rsidP="00336876">
        <w:pPr>
          <w:pStyle w:val="Footer"/>
          <w:jc w:val="right"/>
        </w:pPr>
      </w:p>
      <w:p w:rsidR="00336876" w:rsidRDefault="00336876" w:rsidP="00336876">
        <w:pPr>
          <w:pStyle w:val="Footer"/>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5DE" w:rsidRDefault="006C65DE" w:rsidP="00715D93">
      <w:pPr>
        <w:spacing w:after="0" w:line="240" w:lineRule="auto"/>
      </w:pPr>
      <w:r>
        <w:separator/>
      </w:r>
    </w:p>
  </w:footnote>
  <w:footnote w:type="continuationSeparator" w:id="0">
    <w:p w:rsidR="006C65DE" w:rsidRDefault="006C65DE" w:rsidP="00715D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D58" w:rsidRDefault="001C0EF6" w:rsidP="001C0EF6">
    <w:pPr>
      <w:pStyle w:val="Header"/>
      <w:jc w:val="right"/>
    </w:pPr>
    <w:r>
      <w:rPr>
        <w:noProof/>
        <w:lang w:eastAsia="en-GB"/>
      </w:rPr>
      <w:drawing>
        <wp:inline distT="0" distB="0" distL="0" distR="0" wp14:anchorId="74AB93BB" wp14:editId="754F70BB">
          <wp:extent cx="2244435" cy="78377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5520" cy="787642"/>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876" w:rsidRDefault="00336876" w:rsidP="001C0EF6">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876" w:rsidRDefault="00336876" w:rsidP="001C0EF6">
    <w:pPr>
      <w:pStyle w:val="Header"/>
      <w:jc w:val="right"/>
    </w:pPr>
    <w:r>
      <w:rPr>
        <w:noProof/>
        <w:lang w:eastAsia="en-GB"/>
      </w:rPr>
      <w:drawing>
        <wp:inline distT="0" distB="0" distL="0" distR="0" wp14:anchorId="2FFA34C6" wp14:editId="2CC76D38">
          <wp:extent cx="2244435" cy="783771"/>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5520" cy="787642"/>
                  </a:xfrm>
                  <a:prstGeom prst="rect">
                    <a:avLst/>
                  </a:prstGeom>
                  <a:noFill/>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876" w:rsidRDefault="00336876" w:rsidP="001C0EF6">
    <w:pPr>
      <w:pStyle w:val="Header"/>
      <w:jc w:val="right"/>
    </w:pPr>
    <w:r>
      <w:rPr>
        <w:noProof/>
        <w:lang w:eastAsia="en-GB"/>
      </w:rPr>
      <w:drawing>
        <wp:inline distT="0" distB="0" distL="0" distR="0" wp14:anchorId="76184A9E" wp14:editId="1CF39320">
          <wp:extent cx="2244435" cy="783771"/>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5520" cy="787642"/>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350FB7"/>
    <w:multiLevelType w:val="hybridMultilevel"/>
    <w:tmpl w:val="15BC16E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1E85527"/>
    <w:multiLevelType w:val="hybridMultilevel"/>
    <w:tmpl w:val="EB6E6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C486670"/>
    <w:multiLevelType w:val="hybridMultilevel"/>
    <w:tmpl w:val="54B28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67C4DBF"/>
    <w:multiLevelType w:val="multilevel"/>
    <w:tmpl w:val="3E246D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499524EA"/>
    <w:multiLevelType w:val="hybridMultilevel"/>
    <w:tmpl w:val="216EE7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C5A"/>
    <w:rsid w:val="0004461A"/>
    <w:rsid w:val="000471D3"/>
    <w:rsid w:val="00063F40"/>
    <w:rsid w:val="00064491"/>
    <w:rsid w:val="000673AE"/>
    <w:rsid w:val="0007350D"/>
    <w:rsid w:val="00083799"/>
    <w:rsid w:val="000B5255"/>
    <w:rsid w:val="000C4B0E"/>
    <w:rsid w:val="000D7C5A"/>
    <w:rsid w:val="000F416F"/>
    <w:rsid w:val="00137283"/>
    <w:rsid w:val="0019366A"/>
    <w:rsid w:val="001C0EF6"/>
    <w:rsid w:val="00272C65"/>
    <w:rsid w:val="002C05AB"/>
    <w:rsid w:val="002D45F3"/>
    <w:rsid w:val="00336876"/>
    <w:rsid w:val="00344D3A"/>
    <w:rsid w:val="00357F4F"/>
    <w:rsid w:val="003C41E4"/>
    <w:rsid w:val="003D4ADA"/>
    <w:rsid w:val="00441EF2"/>
    <w:rsid w:val="00443D58"/>
    <w:rsid w:val="004477CC"/>
    <w:rsid w:val="00482238"/>
    <w:rsid w:val="00490A92"/>
    <w:rsid w:val="00494D0A"/>
    <w:rsid w:val="004C6353"/>
    <w:rsid w:val="004D4871"/>
    <w:rsid w:val="004F43BD"/>
    <w:rsid w:val="00505809"/>
    <w:rsid w:val="005455A1"/>
    <w:rsid w:val="00577612"/>
    <w:rsid w:val="005970B1"/>
    <w:rsid w:val="005A6381"/>
    <w:rsid w:val="005C2D2E"/>
    <w:rsid w:val="005D330B"/>
    <w:rsid w:val="005F45BE"/>
    <w:rsid w:val="006017E3"/>
    <w:rsid w:val="006131E0"/>
    <w:rsid w:val="00614387"/>
    <w:rsid w:val="00661179"/>
    <w:rsid w:val="006972FA"/>
    <w:rsid w:val="006B2467"/>
    <w:rsid w:val="006C65DE"/>
    <w:rsid w:val="006D2AC4"/>
    <w:rsid w:val="006F03D3"/>
    <w:rsid w:val="00715D93"/>
    <w:rsid w:val="0072507F"/>
    <w:rsid w:val="007411CE"/>
    <w:rsid w:val="0080213F"/>
    <w:rsid w:val="00860CE2"/>
    <w:rsid w:val="008742CE"/>
    <w:rsid w:val="008D4090"/>
    <w:rsid w:val="008F3FDC"/>
    <w:rsid w:val="009406A6"/>
    <w:rsid w:val="00955599"/>
    <w:rsid w:val="00957BE6"/>
    <w:rsid w:val="009F41B6"/>
    <w:rsid w:val="00A24096"/>
    <w:rsid w:val="00A6490E"/>
    <w:rsid w:val="00A70671"/>
    <w:rsid w:val="00A77245"/>
    <w:rsid w:val="00A84F68"/>
    <w:rsid w:val="00B5264B"/>
    <w:rsid w:val="00B62CB1"/>
    <w:rsid w:val="00BB222C"/>
    <w:rsid w:val="00BF5B44"/>
    <w:rsid w:val="00C11455"/>
    <w:rsid w:val="00C27646"/>
    <w:rsid w:val="00C45BA4"/>
    <w:rsid w:val="00C50400"/>
    <w:rsid w:val="00C60ADD"/>
    <w:rsid w:val="00C7728A"/>
    <w:rsid w:val="00C86BEA"/>
    <w:rsid w:val="00CB5B87"/>
    <w:rsid w:val="00D51AEB"/>
    <w:rsid w:val="00D5710F"/>
    <w:rsid w:val="00D87E01"/>
    <w:rsid w:val="00E04266"/>
    <w:rsid w:val="00E12EBB"/>
    <w:rsid w:val="00E235EB"/>
    <w:rsid w:val="00E536BA"/>
    <w:rsid w:val="00E55419"/>
    <w:rsid w:val="00F175B1"/>
    <w:rsid w:val="00F420FA"/>
    <w:rsid w:val="00F767C4"/>
    <w:rsid w:val="00F76A42"/>
    <w:rsid w:val="00FA29E9"/>
    <w:rsid w:val="00FF0D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5D93"/>
    <w:pPr>
      <w:ind w:left="720"/>
      <w:contextualSpacing/>
    </w:pPr>
  </w:style>
  <w:style w:type="paragraph" w:styleId="Header">
    <w:name w:val="header"/>
    <w:basedOn w:val="Normal"/>
    <w:link w:val="HeaderChar"/>
    <w:uiPriority w:val="99"/>
    <w:unhideWhenUsed/>
    <w:rsid w:val="00715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5D93"/>
  </w:style>
  <w:style w:type="paragraph" w:styleId="Footer">
    <w:name w:val="footer"/>
    <w:basedOn w:val="Normal"/>
    <w:link w:val="FooterChar"/>
    <w:uiPriority w:val="99"/>
    <w:unhideWhenUsed/>
    <w:rsid w:val="00715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5D93"/>
  </w:style>
  <w:style w:type="character" w:styleId="Hyperlink">
    <w:name w:val="Hyperlink"/>
    <w:basedOn w:val="DefaultParagraphFont"/>
    <w:uiPriority w:val="99"/>
    <w:unhideWhenUsed/>
    <w:rsid w:val="00137283"/>
    <w:rPr>
      <w:color w:val="0000FF" w:themeColor="hyperlink"/>
      <w:u w:val="single"/>
    </w:rPr>
  </w:style>
  <w:style w:type="paragraph" w:styleId="BalloonText">
    <w:name w:val="Balloon Text"/>
    <w:basedOn w:val="Normal"/>
    <w:link w:val="BalloonTextChar"/>
    <w:uiPriority w:val="99"/>
    <w:semiHidden/>
    <w:unhideWhenUsed/>
    <w:rsid w:val="009406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06A6"/>
    <w:rPr>
      <w:rFonts w:ascii="Tahoma" w:hAnsi="Tahoma" w:cs="Tahoma"/>
      <w:sz w:val="16"/>
      <w:szCs w:val="16"/>
    </w:rPr>
  </w:style>
  <w:style w:type="paragraph" w:styleId="Revision">
    <w:name w:val="Revision"/>
    <w:hidden/>
    <w:uiPriority w:val="99"/>
    <w:semiHidden/>
    <w:rsid w:val="00490A92"/>
    <w:pPr>
      <w:spacing w:after="0" w:line="240" w:lineRule="auto"/>
    </w:pPr>
  </w:style>
  <w:style w:type="paragraph" w:styleId="NoSpacing">
    <w:name w:val="No Spacing"/>
    <w:uiPriority w:val="1"/>
    <w:qFormat/>
    <w:rsid w:val="00860CE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5D93"/>
    <w:pPr>
      <w:ind w:left="720"/>
      <w:contextualSpacing/>
    </w:pPr>
  </w:style>
  <w:style w:type="paragraph" w:styleId="Header">
    <w:name w:val="header"/>
    <w:basedOn w:val="Normal"/>
    <w:link w:val="HeaderChar"/>
    <w:uiPriority w:val="99"/>
    <w:unhideWhenUsed/>
    <w:rsid w:val="00715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5D93"/>
  </w:style>
  <w:style w:type="paragraph" w:styleId="Footer">
    <w:name w:val="footer"/>
    <w:basedOn w:val="Normal"/>
    <w:link w:val="FooterChar"/>
    <w:uiPriority w:val="99"/>
    <w:unhideWhenUsed/>
    <w:rsid w:val="00715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5D93"/>
  </w:style>
  <w:style w:type="character" w:styleId="Hyperlink">
    <w:name w:val="Hyperlink"/>
    <w:basedOn w:val="DefaultParagraphFont"/>
    <w:uiPriority w:val="99"/>
    <w:unhideWhenUsed/>
    <w:rsid w:val="00137283"/>
    <w:rPr>
      <w:color w:val="0000FF" w:themeColor="hyperlink"/>
      <w:u w:val="single"/>
    </w:rPr>
  </w:style>
  <w:style w:type="paragraph" w:styleId="BalloonText">
    <w:name w:val="Balloon Text"/>
    <w:basedOn w:val="Normal"/>
    <w:link w:val="BalloonTextChar"/>
    <w:uiPriority w:val="99"/>
    <w:semiHidden/>
    <w:unhideWhenUsed/>
    <w:rsid w:val="009406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06A6"/>
    <w:rPr>
      <w:rFonts w:ascii="Tahoma" w:hAnsi="Tahoma" w:cs="Tahoma"/>
      <w:sz w:val="16"/>
      <w:szCs w:val="16"/>
    </w:rPr>
  </w:style>
  <w:style w:type="paragraph" w:styleId="Revision">
    <w:name w:val="Revision"/>
    <w:hidden/>
    <w:uiPriority w:val="99"/>
    <w:semiHidden/>
    <w:rsid w:val="00490A92"/>
    <w:pPr>
      <w:spacing w:after="0" w:line="240" w:lineRule="auto"/>
    </w:pPr>
  </w:style>
  <w:style w:type="paragraph" w:styleId="NoSpacing">
    <w:name w:val="No Spacing"/>
    <w:uiPriority w:val="1"/>
    <w:qFormat/>
    <w:rsid w:val="00860C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19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ontrol" Target="activeX/activeX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mailto:communications.sessp@northstaffs.nhs.uk" TargetMode="External"/><Relationship Id="rId10" Type="http://schemas.openxmlformats.org/officeDocument/2006/relationships/webSettings" Target="webSettings.xml"/><Relationship Id="rId19" Type="http://schemas.openxmlformats.org/officeDocument/2006/relationships/footer" Target="footer4.xml"/><Relationship Id="rId27" Type="http://schemas.openxmlformats.org/officeDocument/2006/relationships/theme" Target="theme/theme1.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control" Target="activeX/activeX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9CFBA0A5475C488B98C0EEF83E4C6C" ma:contentTypeVersion="23" ma:contentTypeDescription="Create a new document." ma:contentTypeScope="" ma:versionID="e9ea5a8a74175b192abe8b5924e7e407">
  <xsd:schema xmlns:xsd="http://www.w3.org/2001/XMLSchema" xmlns:xs="http://www.w3.org/2001/XMLSchema" xmlns:p="http://schemas.microsoft.com/office/2006/metadata/properties" xmlns:ns2="c199fa6e-e161-4dd5-a161-50ba1d75de80" xmlns:ns3="04f0e3bc-3cd1-4b55-b5d9-0f8e8fa95761" targetNamespace="http://schemas.microsoft.com/office/2006/metadata/properties" ma:root="true" ma:fieldsID="8acc98c14fc7d989976163f1f19316cd" ns2:_="" ns3:_="">
    <xsd:import namespace="c199fa6e-e161-4dd5-a161-50ba1d75de80"/>
    <xsd:import namespace="04f0e3bc-3cd1-4b55-b5d9-0f8e8fa9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_x0031_" minOccurs="0"/>
                <xsd:element ref="ns2:Date" minOccurs="0"/>
                <xsd:element ref="ns2:MediaServiceObjectDetectorVersions" minOccurs="0"/>
                <xsd:element ref="ns2:MediaServiceSearchPropertie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9fa6e-e161-4dd5-a161-50ba1d75de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3d4a4f-1d94-4ad4-bc3a-e2aacad0227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_x0031_" ma:index="24" nillable="true" ma:displayName="Outcome" ma:format="Dropdown" ma:internalName="_x0031_">
      <xsd:simpleType>
        <xsd:restriction base="dms:Text">
          <xsd:maxLength value="255"/>
        </xsd:restriction>
      </xsd:simpleType>
    </xsd:element>
    <xsd:element name="Date" ma:index="25" nillable="true" ma:displayName="Date" ma:format="Dropdown" ma:internalName="Dat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Comments" ma:index="28" nillable="true" ma:displayName="UPDATE" ma:description="Updates to application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f0e3bc-3cd1-4b55-b5d9-0f8e8fa9576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a6e462d-0506-4ff6-8667-db7bc04cf139}" ma:internalName="TaxCatchAll" ma:showField="CatchAllData" ma:web="04f0e3bc-3cd1-4b55-b5d9-0f8e8fa95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 xmlns="c199fa6e-e161-4dd5-a161-50ba1d75de80" xsi:nil="true"/>
    <lcf76f155ced4ddcb4097134ff3c332f xmlns="c199fa6e-e161-4dd5-a161-50ba1d75de80">
      <Terms xmlns="http://schemas.microsoft.com/office/infopath/2007/PartnerControls"/>
    </lcf76f155ced4ddcb4097134ff3c332f>
    <TaxCatchAll xmlns="04f0e3bc-3cd1-4b55-b5d9-0f8e8fa95761" xsi:nil="true"/>
    <_x0031_ xmlns="c199fa6e-e161-4dd5-a161-50ba1d75de80" xsi:nil="true"/>
    <Comments xmlns="c199fa6e-e161-4dd5-a161-50ba1d75de80"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DACE2-1590-467B-84B3-D7159B69FC74}"/>
</file>

<file path=customXml/itemProps2.xml><?xml version="1.0" encoding="utf-8"?>
<ds:datastoreItem xmlns:ds="http://schemas.openxmlformats.org/officeDocument/2006/customXml" ds:itemID="{E308D321-626A-4704-AF7E-3A305761DB1A}">
  <ds:schemaRefs>
    <ds:schemaRef ds:uri="http://schemas.microsoft.com/sharepoint/v3/contenttype/forms"/>
  </ds:schemaRefs>
</ds:datastoreItem>
</file>

<file path=customXml/itemProps3.xml><?xml version="1.0" encoding="utf-8"?>
<ds:datastoreItem xmlns:ds="http://schemas.openxmlformats.org/officeDocument/2006/customXml" ds:itemID="{343FC9A8-D3B6-4F3D-ACB6-407234DDD43D}">
  <ds:schemaRefs>
    <ds:schemaRef ds:uri="http://schemas.microsoft.com/office/2006/metadata/properties"/>
    <ds:schemaRef ds:uri="http://schemas.microsoft.com/office/infopath/2007/PartnerControls"/>
    <ds:schemaRef ds:uri="http://schemas.microsoft.com/sharepoint/v3"/>
    <ds:schemaRef ds:uri="f6e004bc-aedd-4749-8c5b-00242f42cd31"/>
  </ds:schemaRefs>
</ds:datastoreItem>
</file>

<file path=customXml/itemProps4.xml><?xml version="1.0" encoding="utf-8"?>
<ds:datastoreItem xmlns:ds="http://schemas.openxmlformats.org/officeDocument/2006/customXml" ds:itemID="{BBF1457A-4518-46BC-8671-14876C1B9E26}">
  <ds:schemaRefs>
    <ds:schemaRef ds:uri="http://schemas.microsoft.com/sharepoint/events"/>
  </ds:schemaRefs>
</ds:datastoreItem>
</file>

<file path=customXml/itemProps5.xml><?xml version="1.0" encoding="utf-8"?>
<ds:datastoreItem xmlns:ds="http://schemas.openxmlformats.org/officeDocument/2006/customXml" ds:itemID="{501779E9-9BF1-4BE5-B0BD-55EA73432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1047</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North Staffs IT Services</Company>
  <LinksUpToDate>false</LinksUpToDate>
  <CharactersWithSpaces>7007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Oliver Fraser (CCG) SESCCG</dc:creator>
  <cp:lastModifiedBy>Hadley Andy (CCG) SESCCG</cp:lastModifiedBy>
  <cp:revision>7</cp:revision>
  <cp:lastPrinted>2013-11-13T10:37:00Z</cp:lastPrinted>
  <dcterms:created xsi:type="dcterms:W3CDTF">2015-07-09T09:21:00Z</dcterms:created>
  <dcterms:modified xsi:type="dcterms:W3CDTF">2015-07-10T15:34:00Z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0x010100A89CFBA0A5475C488B98C0EEF83E4C6C</vt:lpwstr>
  </property>
  <property fmtid="{D5CDD505-2E9C-101B-9397-08002B2CF9AE}" pid="3" name="_dlc_DocIdItemGuid">
    <vt:lpwstr>a55e07ef-a4d4-4f47-8afb-6e4f81e11ff4</vt:lpwstr>
  </property>
</Properties>
</file>